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15364DD">
      <w:pPr>
        <w:snapToGrid w:val="0"/>
        <w:spacing w:line="560" w:lineRule="exact"/>
        <w:jc w:val="center"/>
        <w:rPr>
          <w:rFonts w:ascii="Times New Roman" w:hAnsi="Times New Roman" w:eastAsia="仿宋_GB2312" w:cs="Times New Roman"/>
          <w:sz w:val="32"/>
          <w:szCs w:val="32"/>
        </w:rPr>
      </w:pPr>
      <w:bookmarkStart w:id="5" w:name="_GoBack"/>
      <w:bookmarkEnd w:id="5"/>
    </w:p>
    <w:p w14:paraId="02D6F21D">
      <w:pPr>
        <w:snapToGrid w:val="0"/>
        <w:spacing w:line="740" w:lineRule="exact"/>
        <w:jc w:val="center"/>
        <w:rPr>
          <w:rFonts w:ascii="Times New Roman" w:hAnsi="Times New Roman" w:eastAsia="仿宋_GB2312" w:cs="Times New Roman"/>
          <w:sz w:val="32"/>
          <w:szCs w:val="32"/>
        </w:rPr>
      </w:pPr>
    </w:p>
    <w:p w14:paraId="500AE9AC">
      <w:pPr>
        <w:snapToGrid w:val="0"/>
        <w:spacing w:line="560" w:lineRule="exact"/>
        <w:ind w:left="359" w:leftChars="171" w:right="382" w:rightChars="182"/>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同政规发</w:t>
      </w:r>
      <w:bookmarkStart w:id="0" w:name="_Hlk520727432"/>
      <w:r>
        <w:rPr>
          <w:rFonts w:ascii="Times New Roman" w:hAnsi="Times New Roman" w:eastAsia="仿宋_GB2312" w:cs="Times New Roman"/>
          <w:sz w:val="32"/>
          <w:szCs w:val="32"/>
        </w:rPr>
        <w:t>〔2024〕</w:t>
      </w:r>
      <w:bookmarkEnd w:id="0"/>
      <w:r>
        <w:rPr>
          <w:rFonts w:ascii="Times New Roman" w:hAnsi="Times New Roman" w:eastAsia="仿宋_GB2312" w:cs="Times New Roman"/>
          <w:sz w:val="32"/>
          <w:szCs w:val="32"/>
        </w:rPr>
        <w:t>1号</w:t>
      </w:r>
    </w:p>
    <w:p w14:paraId="302CB0D2">
      <w:pPr>
        <w:snapToGrid w:val="0"/>
        <w:spacing w:line="560" w:lineRule="exact"/>
        <w:jc w:val="center"/>
        <w:rPr>
          <w:rFonts w:ascii="Times New Roman" w:hAnsi="Times New Roman" w:eastAsia="仿宋_GB2312" w:cs="Times New Roman"/>
          <w:sz w:val="32"/>
          <w:szCs w:val="32"/>
        </w:rPr>
      </w:pPr>
    </w:p>
    <w:p w14:paraId="4ACBE158">
      <w:pPr>
        <w:spacing w:line="560" w:lineRule="exact"/>
        <w:jc w:val="center"/>
        <w:rPr>
          <w:rFonts w:ascii="Times New Roman" w:hAnsi="Times New Roman" w:eastAsia="仿宋_GB2312" w:cs="Times New Roman"/>
          <w:sz w:val="32"/>
        </w:rPr>
      </w:pPr>
    </w:p>
    <w:p w14:paraId="3C47E3C3">
      <w:pPr>
        <w:spacing w:line="580" w:lineRule="exact"/>
        <w:jc w:val="center"/>
        <w:rPr>
          <w:rFonts w:ascii="Times New Roman" w:hAnsi="Times New Roman" w:eastAsia="方正小标宋简体" w:cs="Times New Roman"/>
          <w:sz w:val="44"/>
          <w:szCs w:val="32"/>
        </w:rPr>
      </w:pPr>
      <w:r>
        <w:rPr>
          <w:rFonts w:ascii="Times New Roman" w:hAnsi="Times New Roman" w:eastAsia="方正小标宋简体" w:cs="Times New Roman"/>
          <w:sz w:val="44"/>
          <w:szCs w:val="32"/>
        </w:rPr>
        <w:t>同心县人民政府关于保留、废止、</w:t>
      </w:r>
      <w:r>
        <w:rPr>
          <w:rFonts w:hint="eastAsia" w:ascii="Times New Roman" w:hAnsi="Times New Roman" w:eastAsia="方正小标宋简体" w:cs="Times New Roman"/>
          <w:sz w:val="44"/>
          <w:szCs w:val="32"/>
        </w:rPr>
        <w:t>修改</w:t>
      </w:r>
      <w:r>
        <w:rPr>
          <w:rFonts w:ascii="Times New Roman" w:hAnsi="Times New Roman" w:eastAsia="方正小标宋简体" w:cs="Times New Roman"/>
          <w:sz w:val="44"/>
          <w:szCs w:val="32"/>
        </w:rPr>
        <w:t>行政规范性文件的决定</w:t>
      </w:r>
    </w:p>
    <w:p w14:paraId="4DBE9742">
      <w:pPr>
        <w:spacing w:line="580" w:lineRule="exact"/>
        <w:rPr>
          <w:rFonts w:ascii="Times New Roman" w:hAnsi="Times New Roman" w:eastAsia="仿宋_GB2312" w:cs="Times New Roman"/>
          <w:sz w:val="32"/>
          <w:szCs w:val="32"/>
        </w:rPr>
      </w:pPr>
    </w:p>
    <w:p w14:paraId="244C2C31">
      <w:pPr>
        <w:spacing w:line="580" w:lineRule="exact"/>
        <w:rPr>
          <w:rFonts w:ascii="Times New Roman" w:hAnsi="Times New Roman" w:eastAsia="仿宋_GB2312" w:cs="Times New Roman"/>
          <w:sz w:val="32"/>
          <w:szCs w:val="32"/>
        </w:rPr>
      </w:pPr>
      <w:r>
        <w:rPr>
          <w:rFonts w:ascii="Times New Roman" w:hAnsi="Times New Roman" w:eastAsia="仿宋_GB2312" w:cs="Times New Roman"/>
          <w:sz w:val="32"/>
          <w:szCs w:val="32"/>
        </w:rPr>
        <w:t>各乡镇人民政府（管委会），政府各部门、直属单位：</w:t>
      </w:r>
    </w:p>
    <w:p w14:paraId="70630983">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为维护国家法制统一和政令畅通，根据党中央、国务院和区市党委、政府有关法律法规规定，县人民政府对现行有效的行政规范性文件进行了清理。经过清理，现决定：</w:t>
      </w:r>
    </w:p>
    <w:p w14:paraId="23F10081">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一、保留12件行政规范性文件</w:t>
      </w:r>
    </w:p>
    <w:p w14:paraId="012073A8">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二、废止4件行政规范性文件。</w:t>
      </w:r>
    </w:p>
    <w:p w14:paraId="0D867989">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三、修改4件行政规范性文件。</w:t>
      </w:r>
    </w:p>
    <w:p w14:paraId="754CE14C">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本决定自公布之日起施行。</w:t>
      </w:r>
    </w:p>
    <w:p w14:paraId="1560E6D7">
      <w:pPr>
        <w:spacing w:line="580" w:lineRule="exact"/>
        <w:ind w:firstLine="640" w:firstLineChars="200"/>
        <w:rPr>
          <w:rFonts w:ascii="Times New Roman" w:hAnsi="Times New Roman" w:eastAsia="仿宋_GB2312" w:cs="Times New Roman"/>
          <w:sz w:val="32"/>
          <w:szCs w:val="32"/>
        </w:rPr>
      </w:pPr>
    </w:p>
    <w:p w14:paraId="460B89D4">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附件：1.县人民政府决定保留的行政规范性文件</w:t>
      </w:r>
      <w:bookmarkStart w:id="1" w:name="_Hlk177120274"/>
      <w:r>
        <w:rPr>
          <w:rFonts w:hint="eastAsia" w:ascii="Times New Roman" w:hAnsi="Times New Roman" w:eastAsia="仿宋_GB2312" w:cs="Times New Roman"/>
          <w:sz w:val="32"/>
          <w:szCs w:val="32"/>
        </w:rPr>
        <w:t>目录</w:t>
      </w:r>
      <w:bookmarkEnd w:id="1"/>
    </w:p>
    <w:p w14:paraId="616E395A">
      <w:pPr>
        <w:spacing w:line="580" w:lineRule="exact"/>
        <w:ind w:firstLine="1600" w:firstLineChars="500"/>
        <w:rPr>
          <w:rFonts w:ascii="Times New Roman" w:hAnsi="Times New Roman" w:eastAsia="仿宋_GB2312" w:cs="Times New Roman"/>
          <w:sz w:val="32"/>
          <w:szCs w:val="32"/>
        </w:rPr>
      </w:pPr>
      <w:r>
        <w:rPr>
          <w:rFonts w:ascii="Times New Roman" w:hAnsi="Times New Roman" w:eastAsia="仿宋_GB2312" w:cs="Times New Roman"/>
          <w:sz w:val="32"/>
          <w:szCs w:val="32"/>
        </w:rPr>
        <w:t>2.县人民政府决定废止的行政规范性文件</w:t>
      </w:r>
      <w:r>
        <w:rPr>
          <w:rFonts w:hint="eastAsia" w:ascii="Times New Roman" w:hAnsi="Times New Roman" w:eastAsia="仿宋_GB2312" w:cs="Times New Roman"/>
          <w:sz w:val="32"/>
          <w:szCs w:val="32"/>
        </w:rPr>
        <w:t>目录</w:t>
      </w:r>
    </w:p>
    <w:p w14:paraId="3F1C1673">
      <w:pPr>
        <w:spacing w:line="580" w:lineRule="exact"/>
        <w:ind w:firstLine="1600" w:firstLineChars="500"/>
        <w:rPr>
          <w:rFonts w:ascii="Times New Roman" w:hAnsi="Times New Roman" w:eastAsia="仿宋_GB2312" w:cs="Times New Roman"/>
          <w:sz w:val="32"/>
          <w:szCs w:val="32"/>
        </w:rPr>
      </w:pPr>
      <w:r>
        <w:rPr>
          <w:rFonts w:ascii="Times New Roman" w:hAnsi="Times New Roman" w:eastAsia="仿宋_GB2312" w:cs="Times New Roman"/>
          <w:sz w:val="32"/>
          <w:szCs w:val="32"/>
        </w:rPr>
        <w:t>3.县人民政府决定修改的行政规范性文件</w:t>
      </w:r>
      <w:r>
        <w:rPr>
          <w:rFonts w:hint="eastAsia" w:ascii="Times New Roman" w:hAnsi="Times New Roman" w:eastAsia="仿宋_GB2312" w:cs="Times New Roman"/>
          <w:sz w:val="32"/>
          <w:szCs w:val="32"/>
        </w:rPr>
        <w:t>目录</w:t>
      </w:r>
    </w:p>
    <w:p w14:paraId="4B668BF9">
      <w:pPr>
        <w:spacing w:line="540" w:lineRule="exact"/>
        <w:ind w:firstLine="140" w:firstLineChars="50"/>
        <w:contextualSpacing/>
        <w:rPr>
          <w:rFonts w:ascii="Times New Roman" w:hAnsi="Times New Roman" w:eastAsia="仿宋_GB2312" w:cs="Times New Roman"/>
          <w:sz w:val="28"/>
          <w:szCs w:val="28"/>
        </w:rPr>
      </w:pPr>
    </w:p>
    <w:p w14:paraId="70F619DA">
      <w:pPr>
        <w:spacing w:line="540" w:lineRule="exact"/>
        <w:ind w:firstLine="140" w:firstLineChars="50"/>
        <w:contextualSpacing/>
        <w:rPr>
          <w:rFonts w:ascii="Times New Roman" w:hAnsi="Times New Roman" w:eastAsia="仿宋_GB2312" w:cs="Times New Roman"/>
          <w:sz w:val="28"/>
          <w:szCs w:val="28"/>
        </w:rPr>
      </w:pPr>
    </w:p>
    <w:p w14:paraId="1F3699F6">
      <w:pPr>
        <w:spacing w:line="540" w:lineRule="exact"/>
        <w:ind w:firstLine="140" w:firstLineChars="50"/>
        <w:contextualSpacing/>
        <w:rPr>
          <w:rFonts w:ascii="Times New Roman" w:hAnsi="Times New Roman" w:eastAsia="仿宋_GB2312" w:cs="Times New Roman"/>
          <w:sz w:val="28"/>
          <w:szCs w:val="28"/>
        </w:rPr>
      </w:pPr>
    </w:p>
    <w:p w14:paraId="1F677DC0">
      <w:pPr>
        <w:spacing w:line="540" w:lineRule="exact"/>
        <w:ind w:right="840" w:rightChars="400" w:firstLine="5526" w:firstLineChars="1727"/>
        <w:rPr>
          <w:rFonts w:ascii="Times New Roman" w:hAnsi="Times New Roman" w:eastAsia="仿宋_GB2312" w:cs="Times New Roman"/>
          <w:sz w:val="32"/>
          <w:szCs w:val="32"/>
        </w:rPr>
      </w:pPr>
      <w:r>
        <w:rPr>
          <w:rFonts w:ascii="Times New Roman" w:hAnsi="Times New Roman" w:eastAsia="仿宋_GB2312" w:cs="Times New Roman"/>
          <w:sz w:val="32"/>
          <w:szCs w:val="32"/>
        </w:rPr>
        <w:t>同心县人民政府</w:t>
      </w:r>
    </w:p>
    <w:p w14:paraId="1EE1327C">
      <w:pPr>
        <w:spacing w:line="540" w:lineRule="exact"/>
        <w:ind w:firstLine="5526" w:firstLineChars="1727"/>
        <w:rPr>
          <w:rFonts w:ascii="Times New Roman" w:hAnsi="Times New Roman" w:eastAsia="仿宋_GB2312" w:cs="Times New Roman"/>
          <w:sz w:val="32"/>
          <w:szCs w:val="32"/>
        </w:rPr>
      </w:pPr>
      <w:r>
        <w:rPr>
          <w:rFonts w:ascii="Times New Roman" w:hAnsi="Times New Roman" w:eastAsia="仿宋_GB2312" w:cs="Times New Roman"/>
          <w:sz w:val="32"/>
          <w:szCs w:val="32"/>
        </w:rPr>
        <w:t>2024年9月</w:t>
      </w:r>
      <w:r>
        <w:rPr>
          <w:rFonts w:hint="eastAsia" w:ascii="Times New Roman" w:hAnsi="Times New Roman" w:eastAsia="仿宋_GB2312" w:cs="Times New Roman"/>
          <w:sz w:val="32"/>
          <w:szCs w:val="32"/>
        </w:rPr>
        <w:t>24</w:t>
      </w:r>
      <w:r>
        <w:rPr>
          <w:rFonts w:ascii="Times New Roman" w:hAnsi="Times New Roman" w:eastAsia="仿宋_GB2312" w:cs="Times New Roman"/>
          <w:sz w:val="32"/>
          <w:szCs w:val="32"/>
        </w:rPr>
        <w:t>日</w:t>
      </w:r>
    </w:p>
    <w:p w14:paraId="59D28F40">
      <w:pPr>
        <w:spacing w:line="400" w:lineRule="exact"/>
        <w:ind w:firstLine="160" w:firstLineChars="50"/>
        <w:contextualSpacing/>
        <w:rPr>
          <w:rFonts w:ascii="Times New Roman" w:hAnsi="Times New Roman" w:eastAsia="仿宋_GB2312" w:cs="Times New Roman"/>
          <w:sz w:val="32"/>
          <w:szCs w:val="32"/>
        </w:rPr>
      </w:pPr>
      <w:r>
        <w:rPr>
          <w:rFonts w:ascii="Times New Roman" w:hAnsi="Times New Roman" w:eastAsia="仿宋_GB2312" w:cs="Times New Roman"/>
          <w:sz w:val="32"/>
          <w:szCs w:val="32"/>
        </w:rPr>
        <w:t>（此件公开发布）</w:t>
      </w:r>
    </w:p>
    <w:p w14:paraId="677F12B5">
      <w:pPr>
        <w:spacing w:line="200" w:lineRule="exact"/>
        <w:ind w:firstLine="140" w:firstLineChars="50"/>
        <w:contextualSpacing/>
        <w:rPr>
          <w:rFonts w:ascii="Times New Roman" w:hAnsi="Times New Roman" w:eastAsia="仿宋_GB2312" w:cs="Times New Roman"/>
          <w:sz w:val="28"/>
          <w:szCs w:val="28"/>
        </w:rPr>
      </w:pPr>
    </w:p>
    <w:p w14:paraId="4A666AA7">
      <w:pPr>
        <w:widowControl/>
        <w:jc w:val="left"/>
        <w:rPr>
          <w:rFonts w:ascii="Times New Roman" w:hAnsi="Times New Roman" w:eastAsia="仿宋_GB2312" w:cs="Times New Roman"/>
          <w:sz w:val="28"/>
          <w:szCs w:val="28"/>
        </w:rPr>
        <w:sectPr>
          <w:footerReference r:id="rId3" w:type="default"/>
          <w:footerReference r:id="rId4" w:type="even"/>
          <w:pgSz w:w="11906" w:h="16838"/>
          <w:pgMar w:top="2098" w:right="1474" w:bottom="1985" w:left="1588" w:header="851" w:footer="992" w:gutter="0"/>
          <w:cols w:space="425" w:num="1"/>
          <w:docGrid w:type="lines" w:linePitch="312" w:charSpace="0"/>
        </w:sectPr>
      </w:pPr>
      <w:r>
        <w:rPr>
          <w:rFonts w:ascii="Times New Roman" w:hAnsi="Times New Roman" w:eastAsia="仿宋_GB2312" w:cs="Times New Roman"/>
          <w:sz w:val="28"/>
          <w:szCs w:val="28"/>
        </w:rPr>
        <w:br w:type="page"/>
      </w:r>
    </w:p>
    <w:p w14:paraId="37E6C1C2">
      <w:pPr>
        <w:spacing w:line="560" w:lineRule="exact"/>
        <w:contextualSpacing/>
        <w:rPr>
          <w:rFonts w:ascii="Times New Roman" w:hAnsi="Times New Roman" w:eastAsia="黑体" w:cs="Times New Roman"/>
          <w:sz w:val="28"/>
          <w:szCs w:val="28"/>
        </w:rPr>
      </w:pPr>
      <w:r>
        <w:rPr>
          <w:rFonts w:ascii="Times New Roman" w:hAnsi="Times New Roman" w:eastAsia="黑体" w:cs="Times New Roman"/>
          <w:sz w:val="28"/>
          <w:szCs w:val="28"/>
        </w:rPr>
        <w:t>附件1</w:t>
      </w:r>
    </w:p>
    <w:p w14:paraId="50FD39AF">
      <w:pPr>
        <w:spacing w:line="560" w:lineRule="exact"/>
        <w:contextualSpacing/>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县人民政府决定保留的行政规范性文件</w:t>
      </w:r>
      <w:r>
        <w:rPr>
          <w:rFonts w:hint="eastAsia" w:ascii="Times New Roman" w:hAnsi="Times New Roman" w:eastAsia="方正小标宋简体" w:cs="Times New Roman"/>
          <w:sz w:val="44"/>
          <w:szCs w:val="44"/>
        </w:rPr>
        <w:t>目录</w:t>
      </w:r>
    </w:p>
    <w:tbl>
      <w:tblPr>
        <w:tblStyle w:val="6"/>
        <w:tblW w:w="13462" w:type="dxa"/>
        <w:jc w:val="center"/>
        <w:tblLayout w:type="fixed"/>
        <w:tblCellMar>
          <w:top w:w="0" w:type="dxa"/>
          <w:left w:w="108" w:type="dxa"/>
          <w:bottom w:w="0" w:type="dxa"/>
          <w:right w:w="108" w:type="dxa"/>
        </w:tblCellMar>
      </w:tblPr>
      <w:tblGrid>
        <w:gridCol w:w="927"/>
        <w:gridCol w:w="3604"/>
        <w:gridCol w:w="7230"/>
        <w:gridCol w:w="1701"/>
      </w:tblGrid>
      <w:tr w14:paraId="34B76211">
        <w:tblPrEx>
          <w:tblCellMar>
            <w:top w:w="0" w:type="dxa"/>
            <w:left w:w="108" w:type="dxa"/>
            <w:bottom w:w="0" w:type="dxa"/>
            <w:right w:w="108" w:type="dxa"/>
          </w:tblCellMar>
        </w:tblPrEx>
        <w:trPr>
          <w:trHeight w:val="525"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0D9611B4">
            <w:pPr>
              <w:widowControl/>
              <w:jc w:val="center"/>
              <w:textAlignment w:val="center"/>
              <w:rPr>
                <w:rFonts w:ascii="Times New Roman" w:hAnsi="Times New Roman" w:cs="Times New Roman"/>
                <w:b/>
                <w:bCs/>
                <w:color w:val="000000"/>
                <w:sz w:val="28"/>
                <w:szCs w:val="28"/>
              </w:rPr>
            </w:pPr>
            <w:bookmarkStart w:id="2" w:name="_Hlk177117589"/>
            <w:r>
              <w:rPr>
                <w:rFonts w:ascii="Times New Roman" w:hAnsi="Times New Roman" w:cs="Times New Roman"/>
                <w:b/>
                <w:bCs/>
                <w:color w:val="000000"/>
                <w:kern w:val="0"/>
                <w:sz w:val="28"/>
                <w:szCs w:val="28"/>
              </w:rPr>
              <w:t>序号</w:t>
            </w:r>
          </w:p>
        </w:tc>
        <w:tc>
          <w:tcPr>
            <w:tcW w:w="3604" w:type="dxa"/>
            <w:tcBorders>
              <w:top w:val="single" w:color="000000" w:sz="4" w:space="0"/>
              <w:left w:val="nil"/>
              <w:bottom w:val="single" w:color="000000" w:sz="4" w:space="0"/>
              <w:right w:val="single" w:color="000000" w:sz="4" w:space="0"/>
            </w:tcBorders>
            <w:noWrap/>
            <w:vAlign w:val="center"/>
          </w:tcPr>
          <w:p w14:paraId="32151F88">
            <w:pPr>
              <w:widowControl/>
              <w:jc w:val="center"/>
              <w:textAlignment w:val="center"/>
              <w:rPr>
                <w:rFonts w:ascii="Times New Roman" w:hAnsi="Times New Roman" w:cs="Times New Roman"/>
                <w:b/>
                <w:bCs/>
                <w:color w:val="000000"/>
                <w:sz w:val="28"/>
                <w:szCs w:val="28"/>
              </w:rPr>
            </w:pPr>
            <w:r>
              <w:rPr>
                <w:rFonts w:ascii="Times New Roman" w:hAnsi="Times New Roman" w:cs="Times New Roman"/>
                <w:b/>
                <w:bCs/>
                <w:color w:val="000000"/>
                <w:kern w:val="0"/>
                <w:sz w:val="28"/>
                <w:szCs w:val="28"/>
              </w:rPr>
              <w:t>文件编号</w:t>
            </w:r>
          </w:p>
        </w:tc>
        <w:tc>
          <w:tcPr>
            <w:tcW w:w="7230" w:type="dxa"/>
            <w:tcBorders>
              <w:top w:val="single" w:color="000000" w:sz="4" w:space="0"/>
              <w:left w:val="nil"/>
              <w:bottom w:val="single" w:color="000000" w:sz="4" w:space="0"/>
              <w:right w:val="single" w:color="000000" w:sz="4" w:space="0"/>
            </w:tcBorders>
            <w:noWrap/>
            <w:vAlign w:val="center"/>
          </w:tcPr>
          <w:p w14:paraId="009D9EA3">
            <w:pPr>
              <w:widowControl/>
              <w:jc w:val="center"/>
              <w:textAlignment w:val="center"/>
              <w:rPr>
                <w:rFonts w:ascii="Times New Roman" w:hAnsi="Times New Roman" w:cs="Times New Roman"/>
                <w:b/>
                <w:bCs/>
                <w:color w:val="000000"/>
                <w:sz w:val="28"/>
                <w:szCs w:val="28"/>
              </w:rPr>
            </w:pPr>
            <w:r>
              <w:rPr>
                <w:rFonts w:ascii="Times New Roman" w:hAnsi="Times New Roman" w:cs="Times New Roman"/>
                <w:b/>
                <w:bCs/>
                <w:color w:val="000000"/>
                <w:kern w:val="0"/>
                <w:sz w:val="28"/>
                <w:szCs w:val="28"/>
              </w:rPr>
              <w:t>文件名称</w:t>
            </w:r>
          </w:p>
        </w:tc>
        <w:tc>
          <w:tcPr>
            <w:tcW w:w="1701" w:type="dxa"/>
            <w:tcBorders>
              <w:top w:val="single" w:color="000000" w:sz="4" w:space="0"/>
              <w:left w:val="nil"/>
              <w:bottom w:val="single" w:color="000000" w:sz="4" w:space="0"/>
              <w:right w:val="single" w:color="000000" w:sz="4" w:space="0"/>
            </w:tcBorders>
            <w:noWrap/>
            <w:vAlign w:val="center"/>
          </w:tcPr>
          <w:p w14:paraId="71787964">
            <w:pPr>
              <w:widowControl/>
              <w:jc w:val="center"/>
              <w:textAlignment w:val="center"/>
              <w:rPr>
                <w:rFonts w:ascii="Times New Roman" w:hAnsi="Times New Roman" w:cs="Times New Roman"/>
                <w:b/>
                <w:bCs/>
                <w:color w:val="000000"/>
                <w:sz w:val="28"/>
                <w:szCs w:val="28"/>
              </w:rPr>
            </w:pPr>
            <w:r>
              <w:rPr>
                <w:rFonts w:ascii="Times New Roman" w:hAnsi="Times New Roman" w:cs="Times New Roman"/>
                <w:b/>
                <w:bCs/>
                <w:color w:val="000000"/>
                <w:kern w:val="0"/>
                <w:sz w:val="28"/>
                <w:szCs w:val="28"/>
              </w:rPr>
              <w:t>起草部门</w:t>
            </w:r>
          </w:p>
        </w:tc>
      </w:tr>
      <w:tr w14:paraId="18839530">
        <w:tblPrEx>
          <w:tblCellMar>
            <w:top w:w="0" w:type="dxa"/>
            <w:left w:w="108" w:type="dxa"/>
            <w:bottom w:w="0" w:type="dxa"/>
            <w:right w:w="108" w:type="dxa"/>
          </w:tblCellMar>
        </w:tblPrEx>
        <w:trPr>
          <w:trHeight w:val="1070"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790B72D7">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sz w:val="28"/>
                <w:szCs w:val="28"/>
              </w:rPr>
              <w:t>1</w:t>
            </w:r>
          </w:p>
        </w:tc>
        <w:tc>
          <w:tcPr>
            <w:tcW w:w="3604" w:type="dxa"/>
            <w:tcBorders>
              <w:top w:val="single" w:color="000000" w:sz="4" w:space="0"/>
              <w:left w:val="nil"/>
              <w:bottom w:val="nil"/>
              <w:right w:val="single" w:color="000000" w:sz="4" w:space="0"/>
            </w:tcBorders>
            <w:vAlign w:val="center"/>
          </w:tcPr>
          <w:p w14:paraId="0AF5F850">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同政发〔2009〕58号</w:t>
            </w:r>
          </w:p>
        </w:tc>
        <w:tc>
          <w:tcPr>
            <w:tcW w:w="7230" w:type="dxa"/>
            <w:tcBorders>
              <w:top w:val="single" w:color="000000" w:sz="4" w:space="0"/>
              <w:left w:val="nil"/>
              <w:bottom w:val="single" w:color="000000" w:sz="4" w:space="0"/>
              <w:right w:val="single" w:color="000000" w:sz="4" w:space="0"/>
            </w:tcBorders>
            <w:vAlign w:val="center"/>
          </w:tcPr>
          <w:p w14:paraId="3B17F8B5">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《同心县城市低收入住房困难家庭住房租赁补贴发放管理办法》</w:t>
            </w:r>
          </w:p>
        </w:tc>
        <w:tc>
          <w:tcPr>
            <w:tcW w:w="1701" w:type="dxa"/>
            <w:tcBorders>
              <w:top w:val="single" w:color="000000" w:sz="4" w:space="0"/>
              <w:left w:val="nil"/>
              <w:bottom w:val="nil"/>
              <w:right w:val="single" w:color="000000" w:sz="4" w:space="0"/>
            </w:tcBorders>
            <w:vAlign w:val="center"/>
          </w:tcPr>
          <w:p w14:paraId="0629BD69">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住建局</w:t>
            </w:r>
          </w:p>
        </w:tc>
      </w:tr>
      <w:tr w14:paraId="0AAC564B">
        <w:tblPrEx>
          <w:tblCellMar>
            <w:top w:w="0" w:type="dxa"/>
            <w:left w:w="108" w:type="dxa"/>
            <w:bottom w:w="0" w:type="dxa"/>
            <w:right w:w="108" w:type="dxa"/>
          </w:tblCellMar>
        </w:tblPrEx>
        <w:trPr>
          <w:trHeight w:val="840"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7D591E7D">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2</w:t>
            </w:r>
          </w:p>
        </w:tc>
        <w:tc>
          <w:tcPr>
            <w:tcW w:w="3604" w:type="dxa"/>
            <w:tcBorders>
              <w:top w:val="single" w:color="000000" w:sz="4" w:space="0"/>
              <w:left w:val="nil"/>
              <w:bottom w:val="single" w:color="000000" w:sz="4" w:space="0"/>
              <w:right w:val="single" w:color="000000" w:sz="4" w:space="0"/>
            </w:tcBorders>
            <w:vAlign w:val="center"/>
          </w:tcPr>
          <w:p w14:paraId="6ABBAEC9">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同政发〔2017〕21号</w:t>
            </w:r>
          </w:p>
        </w:tc>
        <w:tc>
          <w:tcPr>
            <w:tcW w:w="7230" w:type="dxa"/>
            <w:tcBorders>
              <w:top w:val="single" w:color="000000" w:sz="4" w:space="0"/>
              <w:left w:val="nil"/>
              <w:bottom w:val="single" w:color="000000" w:sz="4" w:space="0"/>
              <w:right w:val="single" w:color="000000" w:sz="4" w:space="0"/>
            </w:tcBorders>
            <w:vAlign w:val="center"/>
          </w:tcPr>
          <w:p w14:paraId="1800D2B4">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《同心县棚户区改造房屋征收补偿安置方案补充意见》</w:t>
            </w:r>
          </w:p>
        </w:tc>
        <w:tc>
          <w:tcPr>
            <w:tcW w:w="1701" w:type="dxa"/>
            <w:tcBorders>
              <w:top w:val="single" w:color="000000" w:sz="4" w:space="0"/>
              <w:left w:val="nil"/>
              <w:bottom w:val="single" w:color="000000" w:sz="4" w:space="0"/>
              <w:right w:val="single" w:color="000000" w:sz="4" w:space="0"/>
            </w:tcBorders>
            <w:vAlign w:val="center"/>
          </w:tcPr>
          <w:p w14:paraId="2290656E">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住建局</w:t>
            </w:r>
          </w:p>
        </w:tc>
      </w:tr>
      <w:tr w14:paraId="64B57F60">
        <w:tblPrEx>
          <w:tblCellMar>
            <w:top w:w="0" w:type="dxa"/>
            <w:left w:w="108" w:type="dxa"/>
            <w:bottom w:w="0" w:type="dxa"/>
            <w:right w:w="108" w:type="dxa"/>
          </w:tblCellMar>
        </w:tblPrEx>
        <w:trPr>
          <w:trHeight w:val="696"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4846E224">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3</w:t>
            </w:r>
          </w:p>
        </w:tc>
        <w:tc>
          <w:tcPr>
            <w:tcW w:w="3604" w:type="dxa"/>
            <w:tcBorders>
              <w:top w:val="single" w:color="000000" w:sz="4" w:space="0"/>
              <w:left w:val="nil"/>
              <w:bottom w:val="single" w:color="000000" w:sz="4" w:space="0"/>
              <w:right w:val="single" w:color="000000" w:sz="4" w:space="0"/>
            </w:tcBorders>
            <w:vAlign w:val="center"/>
          </w:tcPr>
          <w:p w14:paraId="6BBBFD22">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同政办规发〔2023〕7号</w:t>
            </w:r>
          </w:p>
        </w:tc>
        <w:tc>
          <w:tcPr>
            <w:tcW w:w="7230" w:type="dxa"/>
            <w:tcBorders>
              <w:top w:val="single" w:color="000000" w:sz="4" w:space="0"/>
              <w:left w:val="nil"/>
              <w:bottom w:val="single" w:color="000000" w:sz="4" w:space="0"/>
              <w:right w:val="single" w:color="000000" w:sz="4" w:space="0"/>
            </w:tcBorders>
            <w:vAlign w:val="center"/>
          </w:tcPr>
          <w:p w14:paraId="21F71BEC">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《同心县临时用地管理办法》</w:t>
            </w:r>
          </w:p>
        </w:tc>
        <w:tc>
          <w:tcPr>
            <w:tcW w:w="1701" w:type="dxa"/>
            <w:tcBorders>
              <w:top w:val="single" w:color="000000" w:sz="4" w:space="0"/>
              <w:left w:val="nil"/>
              <w:bottom w:val="single" w:color="000000" w:sz="4" w:space="0"/>
              <w:right w:val="single" w:color="000000" w:sz="4" w:space="0"/>
            </w:tcBorders>
            <w:vAlign w:val="center"/>
          </w:tcPr>
          <w:p w14:paraId="56B46330">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自然资源局</w:t>
            </w:r>
          </w:p>
        </w:tc>
      </w:tr>
      <w:tr w14:paraId="650F2B6E">
        <w:tblPrEx>
          <w:tblCellMar>
            <w:top w:w="0" w:type="dxa"/>
            <w:left w:w="108" w:type="dxa"/>
            <w:bottom w:w="0" w:type="dxa"/>
            <w:right w:w="108" w:type="dxa"/>
          </w:tblCellMar>
        </w:tblPrEx>
        <w:trPr>
          <w:trHeight w:val="834"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627F90C9">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4</w:t>
            </w:r>
          </w:p>
        </w:tc>
        <w:tc>
          <w:tcPr>
            <w:tcW w:w="3604" w:type="dxa"/>
            <w:tcBorders>
              <w:top w:val="single" w:color="000000" w:sz="4" w:space="0"/>
              <w:left w:val="nil"/>
              <w:bottom w:val="single" w:color="000000" w:sz="4" w:space="0"/>
              <w:right w:val="single" w:color="000000" w:sz="4" w:space="0"/>
            </w:tcBorders>
            <w:vAlign w:val="center"/>
          </w:tcPr>
          <w:p w14:paraId="5A8AD8F9">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同政办规发〔2023〕6号</w:t>
            </w:r>
          </w:p>
        </w:tc>
        <w:tc>
          <w:tcPr>
            <w:tcW w:w="7230" w:type="dxa"/>
            <w:tcBorders>
              <w:top w:val="single" w:color="000000" w:sz="4" w:space="0"/>
              <w:left w:val="nil"/>
              <w:bottom w:val="single" w:color="000000" w:sz="4" w:space="0"/>
              <w:right w:val="single" w:color="000000" w:sz="4" w:space="0"/>
            </w:tcBorders>
            <w:vAlign w:val="center"/>
          </w:tcPr>
          <w:p w14:paraId="0C9ADA96">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《同心县农村宅基地和村民自建住房管理办法》</w:t>
            </w:r>
          </w:p>
        </w:tc>
        <w:tc>
          <w:tcPr>
            <w:tcW w:w="1701" w:type="dxa"/>
            <w:tcBorders>
              <w:top w:val="single" w:color="000000" w:sz="4" w:space="0"/>
              <w:left w:val="nil"/>
              <w:bottom w:val="single" w:color="000000" w:sz="4" w:space="0"/>
              <w:right w:val="single" w:color="000000" w:sz="4" w:space="0"/>
            </w:tcBorders>
            <w:vAlign w:val="center"/>
          </w:tcPr>
          <w:p w14:paraId="11AD5146">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 xml:space="preserve">自然资源局 </w:t>
            </w:r>
          </w:p>
        </w:tc>
      </w:tr>
      <w:tr w14:paraId="75C658D1">
        <w:tblPrEx>
          <w:tblCellMar>
            <w:top w:w="0" w:type="dxa"/>
            <w:left w:w="108" w:type="dxa"/>
            <w:bottom w:w="0" w:type="dxa"/>
            <w:right w:w="108" w:type="dxa"/>
          </w:tblCellMar>
        </w:tblPrEx>
        <w:trPr>
          <w:trHeight w:val="703"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045E813C">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5</w:t>
            </w:r>
          </w:p>
        </w:tc>
        <w:tc>
          <w:tcPr>
            <w:tcW w:w="3604" w:type="dxa"/>
            <w:tcBorders>
              <w:top w:val="single" w:color="000000" w:sz="4" w:space="0"/>
              <w:left w:val="nil"/>
              <w:bottom w:val="single" w:color="000000" w:sz="4" w:space="0"/>
              <w:right w:val="single" w:color="000000" w:sz="4" w:space="0"/>
            </w:tcBorders>
            <w:vAlign w:val="center"/>
          </w:tcPr>
          <w:p w14:paraId="0328E088">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同政办规发〔2024〕2号</w:t>
            </w:r>
          </w:p>
        </w:tc>
        <w:tc>
          <w:tcPr>
            <w:tcW w:w="7230" w:type="dxa"/>
            <w:tcBorders>
              <w:top w:val="single" w:color="000000" w:sz="4" w:space="0"/>
              <w:left w:val="nil"/>
              <w:bottom w:val="single" w:color="000000" w:sz="4" w:space="0"/>
              <w:right w:val="single" w:color="000000" w:sz="4" w:space="0"/>
            </w:tcBorders>
            <w:vAlign w:val="center"/>
          </w:tcPr>
          <w:p w14:paraId="3717AE10">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《同心县停车服务收费标准实施方案（试行）》</w:t>
            </w:r>
          </w:p>
        </w:tc>
        <w:tc>
          <w:tcPr>
            <w:tcW w:w="1701" w:type="dxa"/>
            <w:tcBorders>
              <w:top w:val="single" w:color="000000" w:sz="4" w:space="0"/>
              <w:left w:val="nil"/>
              <w:bottom w:val="single" w:color="000000" w:sz="4" w:space="0"/>
              <w:right w:val="single" w:color="000000" w:sz="4" w:space="0"/>
            </w:tcBorders>
            <w:vAlign w:val="center"/>
          </w:tcPr>
          <w:p w14:paraId="280A069F">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发改局</w:t>
            </w:r>
          </w:p>
        </w:tc>
      </w:tr>
      <w:tr w14:paraId="1E59CC7A">
        <w:tblPrEx>
          <w:tblCellMar>
            <w:top w:w="0" w:type="dxa"/>
            <w:left w:w="108" w:type="dxa"/>
            <w:bottom w:w="0" w:type="dxa"/>
            <w:right w:w="108" w:type="dxa"/>
          </w:tblCellMar>
        </w:tblPrEx>
        <w:trPr>
          <w:trHeight w:val="700"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1BF7D34D">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6</w:t>
            </w:r>
          </w:p>
        </w:tc>
        <w:tc>
          <w:tcPr>
            <w:tcW w:w="3604" w:type="dxa"/>
            <w:tcBorders>
              <w:top w:val="single" w:color="000000" w:sz="4" w:space="0"/>
              <w:left w:val="nil"/>
              <w:bottom w:val="single" w:color="000000" w:sz="4" w:space="0"/>
              <w:right w:val="single" w:color="000000" w:sz="4" w:space="0"/>
            </w:tcBorders>
            <w:vAlign w:val="center"/>
          </w:tcPr>
          <w:p w14:paraId="08F8E4DF">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同政办规发〔2023〕5号</w:t>
            </w:r>
          </w:p>
        </w:tc>
        <w:tc>
          <w:tcPr>
            <w:tcW w:w="7230" w:type="dxa"/>
            <w:tcBorders>
              <w:top w:val="single" w:color="000000" w:sz="4" w:space="0"/>
              <w:left w:val="nil"/>
              <w:bottom w:val="single" w:color="000000" w:sz="4" w:space="0"/>
              <w:right w:val="single" w:color="000000" w:sz="4" w:space="0"/>
            </w:tcBorders>
            <w:vAlign w:val="center"/>
          </w:tcPr>
          <w:p w14:paraId="29D85ADD">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《同心县政府投资项目管理办法（试行）》</w:t>
            </w:r>
          </w:p>
        </w:tc>
        <w:tc>
          <w:tcPr>
            <w:tcW w:w="1701" w:type="dxa"/>
            <w:tcBorders>
              <w:top w:val="single" w:color="000000" w:sz="4" w:space="0"/>
              <w:left w:val="nil"/>
              <w:bottom w:val="single" w:color="000000" w:sz="4" w:space="0"/>
              <w:right w:val="single" w:color="000000" w:sz="4" w:space="0"/>
            </w:tcBorders>
            <w:vAlign w:val="center"/>
          </w:tcPr>
          <w:p w14:paraId="4C531B54">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发改局</w:t>
            </w:r>
          </w:p>
        </w:tc>
      </w:tr>
      <w:tr w14:paraId="2F4F8C6B">
        <w:tblPrEx>
          <w:tblCellMar>
            <w:top w:w="0" w:type="dxa"/>
            <w:left w:w="108" w:type="dxa"/>
            <w:bottom w:w="0" w:type="dxa"/>
            <w:right w:w="108" w:type="dxa"/>
          </w:tblCellMar>
        </w:tblPrEx>
        <w:trPr>
          <w:trHeight w:val="980"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4834DE77">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7</w:t>
            </w:r>
          </w:p>
        </w:tc>
        <w:tc>
          <w:tcPr>
            <w:tcW w:w="3604" w:type="dxa"/>
            <w:tcBorders>
              <w:top w:val="single" w:color="000000" w:sz="4" w:space="0"/>
              <w:left w:val="nil"/>
              <w:bottom w:val="single" w:color="000000" w:sz="4" w:space="0"/>
              <w:right w:val="single" w:color="000000" w:sz="4" w:space="0"/>
            </w:tcBorders>
            <w:vAlign w:val="center"/>
          </w:tcPr>
          <w:p w14:paraId="6AC74968">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同政办规发〔2024〕1号</w:t>
            </w:r>
          </w:p>
        </w:tc>
        <w:tc>
          <w:tcPr>
            <w:tcW w:w="7230" w:type="dxa"/>
            <w:tcBorders>
              <w:top w:val="single" w:color="000000" w:sz="4" w:space="0"/>
              <w:left w:val="nil"/>
              <w:bottom w:val="single" w:color="000000" w:sz="4" w:space="0"/>
              <w:right w:val="single" w:color="000000" w:sz="4" w:space="0"/>
            </w:tcBorders>
            <w:vAlign w:val="center"/>
          </w:tcPr>
          <w:p w14:paraId="634408F0">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《同心县全域旅游“引客入同”奖励办法》</w:t>
            </w:r>
          </w:p>
        </w:tc>
        <w:tc>
          <w:tcPr>
            <w:tcW w:w="1701" w:type="dxa"/>
            <w:tcBorders>
              <w:top w:val="single" w:color="000000" w:sz="4" w:space="0"/>
              <w:left w:val="nil"/>
              <w:bottom w:val="single" w:color="000000" w:sz="4" w:space="0"/>
              <w:right w:val="single" w:color="000000" w:sz="4" w:space="0"/>
            </w:tcBorders>
            <w:vAlign w:val="center"/>
          </w:tcPr>
          <w:p w14:paraId="0602EE4E">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文旅局</w:t>
            </w:r>
          </w:p>
        </w:tc>
      </w:tr>
      <w:tr w14:paraId="0493EF7D">
        <w:tblPrEx>
          <w:tblCellMar>
            <w:top w:w="0" w:type="dxa"/>
            <w:left w:w="108" w:type="dxa"/>
            <w:bottom w:w="0" w:type="dxa"/>
            <w:right w:w="108" w:type="dxa"/>
          </w:tblCellMar>
        </w:tblPrEx>
        <w:trPr>
          <w:trHeight w:val="539"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7034A467">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8</w:t>
            </w:r>
          </w:p>
        </w:tc>
        <w:tc>
          <w:tcPr>
            <w:tcW w:w="3604" w:type="dxa"/>
            <w:tcBorders>
              <w:top w:val="single" w:color="000000" w:sz="4" w:space="0"/>
              <w:left w:val="nil"/>
              <w:bottom w:val="single" w:color="000000" w:sz="4" w:space="0"/>
              <w:right w:val="single" w:color="000000" w:sz="4" w:space="0"/>
            </w:tcBorders>
            <w:vAlign w:val="center"/>
          </w:tcPr>
          <w:p w14:paraId="5C9EBEE1">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w:t>
            </w:r>
            <w:r>
              <w:rPr>
                <w:rFonts w:hint="eastAsia" w:ascii="Times New Roman" w:hAnsi="Times New Roman" w:eastAsia="仿宋_GB2312" w:cs="Times New Roman"/>
                <w:color w:val="000000"/>
                <w:kern w:val="0"/>
                <w:sz w:val="28"/>
                <w:szCs w:val="28"/>
              </w:rPr>
              <w:t>应急规</w:t>
            </w:r>
            <w:r>
              <w:rPr>
                <w:rFonts w:ascii="Times New Roman" w:hAnsi="Times New Roman" w:eastAsia="仿宋_GB2312" w:cs="Times New Roman"/>
                <w:color w:val="000000"/>
                <w:kern w:val="0"/>
                <w:sz w:val="28"/>
                <w:szCs w:val="28"/>
              </w:rPr>
              <w:t>发〔2023〕1号</w:t>
            </w:r>
          </w:p>
        </w:tc>
        <w:tc>
          <w:tcPr>
            <w:tcW w:w="7230" w:type="dxa"/>
            <w:tcBorders>
              <w:top w:val="single" w:color="000000" w:sz="4" w:space="0"/>
              <w:left w:val="nil"/>
              <w:bottom w:val="single" w:color="000000" w:sz="4" w:space="0"/>
              <w:right w:val="single" w:color="000000" w:sz="4" w:space="0"/>
            </w:tcBorders>
            <w:vAlign w:val="center"/>
          </w:tcPr>
          <w:p w14:paraId="3054A0E8">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《同心县安全生产风险隐患举报奖励办法》</w:t>
            </w:r>
          </w:p>
        </w:tc>
        <w:tc>
          <w:tcPr>
            <w:tcW w:w="1701" w:type="dxa"/>
            <w:tcBorders>
              <w:top w:val="single" w:color="000000" w:sz="4" w:space="0"/>
              <w:left w:val="nil"/>
              <w:bottom w:val="single" w:color="000000" w:sz="4" w:space="0"/>
              <w:right w:val="single" w:color="000000" w:sz="4" w:space="0"/>
            </w:tcBorders>
            <w:vAlign w:val="center"/>
          </w:tcPr>
          <w:p w14:paraId="41E9D99A">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应急管理局</w:t>
            </w:r>
            <w:r>
              <w:rPr>
                <w:rFonts w:ascii="Times New Roman" w:hAnsi="Times New Roman" w:eastAsia="仿宋_GB2312" w:cs="Times New Roman"/>
                <w:color w:val="000000"/>
                <w:kern w:val="0"/>
                <w:sz w:val="28"/>
                <w:szCs w:val="28"/>
              </w:rPr>
              <w:br w:type="textWrapping"/>
            </w:r>
            <w:r>
              <w:rPr>
                <w:rFonts w:ascii="Times New Roman" w:hAnsi="Times New Roman" w:eastAsia="仿宋_GB2312" w:cs="Times New Roman"/>
                <w:color w:val="000000"/>
                <w:kern w:val="0"/>
                <w:sz w:val="28"/>
                <w:szCs w:val="28"/>
              </w:rPr>
              <w:t>财政局</w:t>
            </w:r>
          </w:p>
        </w:tc>
      </w:tr>
      <w:tr w14:paraId="188AFB66">
        <w:tblPrEx>
          <w:tblCellMar>
            <w:top w:w="0" w:type="dxa"/>
            <w:left w:w="108" w:type="dxa"/>
            <w:bottom w:w="0" w:type="dxa"/>
            <w:right w:w="108" w:type="dxa"/>
          </w:tblCellMar>
        </w:tblPrEx>
        <w:trPr>
          <w:trHeight w:val="1116"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68B7663A">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9</w:t>
            </w:r>
          </w:p>
        </w:tc>
        <w:tc>
          <w:tcPr>
            <w:tcW w:w="3604" w:type="dxa"/>
            <w:tcBorders>
              <w:top w:val="single" w:color="000000" w:sz="4" w:space="0"/>
              <w:left w:val="nil"/>
              <w:bottom w:val="single" w:color="000000" w:sz="4" w:space="0"/>
              <w:right w:val="single" w:color="000000" w:sz="4" w:space="0"/>
            </w:tcBorders>
            <w:vAlign w:val="center"/>
          </w:tcPr>
          <w:p w14:paraId="386783DC">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同政规发〔2023〕1号</w:t>
            </w:r>
          </w:p>
        </w:tc>
        <w:tc>
          <w:tcPr>
            <w:tcW w:w="7230" w:type="dxa"/>
            <w:tcBorders>
              <w:top w:val="single" w:color="000000" w:sz="4" w:space="0"/>
              <w:left w:val="nil"/>
              <w:bottom w:val="single" w:color="000000" w:sz="4" w:space="0"/>
              <w:right w:val="single" w:color="000000" w:sz="4" w:space="0"/>
            </w:tcBorders>
            <w:vAlign w:val="center"/>
          </w:tcPr>
          <w:p w14:paraId="4DCEECB2">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《同心县人民政府关于废止、宣布失效部分行政规范性文件的决定》</w:t>
            </w:r>
          </w:p>
        </w:tc>
        <w:tc>
          <w:tcPr>
            <w:tcW w:w="1701" w:type="dxa"/>
            <w:tcBorders>
              <w:top w:val="single" w:color="000000" w:sz="4" w:space="0"/>
              <w:left w:val="nil"/>
              <w:bottom w:val="single" w:color="000000" w:sz="4" w:space="0"/>
              <w:right w:val="single" w:color="000000" w:sz="4" w:space="0"/>
            </w:tcBorders>
            <w:vAlign w:val="center"/>
          </w:tcPr>
          <w:p w14:paraId="63715732">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司法局</w:t>
            </w:r>
          </w:p>
        </w:tc>
      </w:tr>
      <w:tr w14:paraId="68040D7A">
        <w:tblPrEx>
          <w:tblCellMar>
            <w:top w:w="0" w:type="dxa"/>
            <w:left w:w="108" w:type="dxa"/>
            <w:bottom w:w="0" w:type="dxa"/>
            <w:right w:w="108" w:type="dxa"/>
          </w:tblCellMar>
        </w:tblPrEx>
        <w:trPr>
          <w:trHeight w:val="1130"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34A2DB9F">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10</w:t>
            </w:r>
          </w:p>
        </w:tc>
        <w:tc>
          <w:tcPr>
            <w:tcW w:w="3604" w:type="dxa"/>
            <w:tcBorders>
              <w:top w:val="single" w:color="000000" w:sz="4" w:space="0"/>
              <w:left w:val="nil"/>
              <w:bottom w:val="single" w:color="000000" w:sz="4" w:space="0"/>
              <w:right w:val="single" w:color="000000" w:sz="4" w:space="0"/>
            </w:tcBorders>
            <w:vAlign w:val="center"/>
          </w:tcPr>
          <w:p w14:paraId="2B33952F">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同政办规发〔2023〕3号</w:t>
            </w:r>
          </w:p>
        </w:tc>
        <w:tc>
          <w:tcPr>
            <w:tcW w:w="7230" w:type="dxa"/>
            <w:tcBorders>
              <w:top w:val="single" w:color="000000" w:sz="4" w:space="0"/>
              <w:left w:val="nil"/>
              <w:bottom w:val="single" w:color="000000" w:sz="4" w:space="0"/>
              <w:right w:val="single" w:color="000000" w:sz="4" w:space="0"/>
            </w:tcBorders>
            <w:vAlign w:val="center"/>
          </w:tcPr>
          <w:p w14:paraId="64C89038">
            <w:pPr>
              <w:widowControl/>
              <w:spacing w:line="400" w:lineRule="exact"/>
              <w:jc w:val="left"/>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关于印发《同心县用水权确权收储交易管理制度》的通知</w:t>
            </w:r>
          </w:p>
        </w:tc>
        <w:tc>
          <w:tcPr>
            <w:tcW w:w="1701" w:type="dxa"/>
            <w:tcBorders>
              <w:top w:val="single" w:color="000000" w:sz="4" w:space="0"/>
              <w:left w:val="nil"/>
              <w:bottom w:val="single" w:color="000000" w:sz="4" w:space="0"/>
              <w:right w:val="single" w:color="000000" w:sz="4" w:space="0"/>
            </w:tcBorders>
            <w:vAlign w:val="center"/>
          </w:tcPr>
          <w:p w14:paraId="3874E4D6">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水务局</w:t>
            </w:r>
          </w:p>
        </w:tc>
      </w:tr>
      <w:tr w14:paraId="7A48AADA">
        <w:tblPrEx>
          <w:tblCellMar>
            <w:top w:w="0" w:type="dxa"/>
            <w:left w:w="108" w:type="dxa"/>
            <w:bottom w:w="0" w:type="dxa"/>
            <w:right w:w="108" w:type="dxa"/>
          </w:tblCellMar>
        </w:tblPrEx>
        <w:trPr>
          <w:trHeight w:val="526"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79479DC8">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11</w:t>
            </w:r>
          </w:p>
        </w:tc>
        <w:tc>
          <w:tcPr>
            <w:tcW w:w="3604" w:type="dxa"/>
            <w:tcBorders>
              <w:top w:val="single" w:color="000000" w:sz="4" w:space="0"/>
              <w:left w:val="nil"/>
              <w:bottom w:val="single" w:color="000000" w:sz="4" w:space="0"/>
              <w:right w:val="single" w:color="000000" w:sz="4" w:space="0"/>
            </w:tcBorders>
            <w:vAlign w:val="center"/>
          </w:tcPr>
          <w:p w14:paraId="3DE5988F">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同政办规发〔2023〕2号</w:t>
            </w:r>
          </w:p>
        </w:tc>
        <w:tc>
          <w:tcPr>
            <w:tcW w:w="7230" w:type="dxa"/>
            <w:tcBorders>
              <w:top w:val="single" w:color="000000" w:sz="4" w:space="0"/>
              <w:left w:val="nil"/>
              <w:bottom w:val="single" w:color="000000" w:sz="4" w:space="0"/>
              <w:right w:val="single" w:color="000000" w:sz="4" w:space="0"/>
            </w:tcBorders>
            <w:vAlign w:val="center"/>
          </w:tcPr>
          <w:p w14:paraId="2424B492">
            <w:pPr>
              <w:widowControl/>
              <w:spacing w:line="400" w:lineRule="exact"/>
              <w:jc w:val="left"/>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关于印发《同心县高污染禁燃区划分方案》的通知</w:t>
            </w:r>
          </w:p>
        </w:tc>
        <w:tc>
          <w:tcPr>
            <w:tcW w:w="1701" w:type="dxa"/>
            <w:tcBorders>
              <w:top w:val="single" w:color="000000" w:sz="4" w:space="0"/>
              <w:left w:val="nil"/>
              <w:bottom w:val="single" w:color="000000" w:sz="4" w:space="0"/>
              <w:right w:val="single" w:color="000000" w:sz="4" w:space="0"/>
            </w:tcBorders>
            <w:vAlign w:val="center"/>
          </w:tcPr>
          <w:p w14:paraId="3DC67317">
            <w:pPr>
              <w:widowControl/>
              <w:spacing w:line="56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生态环境</w:t>
            </w:r>
          </w:p>
          <w:p w14:paraId="0E9E39E5">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分局</w:t>
            </w:r>
          </w:p>
        </w:tc>
      </w:tr>
      <w:tr w14:paraId="53703BE4">
        <w:tblPrEx>
          <w:tblCellMar>
            <w:top w:w="0" w:type="dxa"/>
            <w:left w:w="108" w:type="dxa"/>
            <w:bottom w:w="0" w:type="dxa"/>
            <w:right w:w="108" w:type="dxa"/>
          </w:tblCellMar>
        </w:tblPrEx>
        <w:trPr>
          <w:trHeight w:val="1129"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5E7D811B">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12</w:t>
            </w:r>
          </w:p>
        </w:tc>
        <w:tc>
          <w:tcPr>
            <w:tcW w:w="3604" w:type="dxa"/>
            <w:tcBorders>
              <w:top w:val="single" w:color="000000" w:sz="4" w:space="0"/>
              <w:left w:val="nil"/>
              <w:bottom w:val="single" w:color="000000" w:sz="4" w:space="0"/>
              <w:right w:val="single" w:color="000000" w:sz="4" w:space="0"/>
            </w:tcBorders>
            <w:vAlign w:val="center"/>
          </w:tcPr>
          <w:p w14:paraId="40FA629B">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同政规发〔2020〕4号</w:t>
            </w:r>
          </w:p>
        </w:tc>
        <w:tc>
          <w:tcPr>
            <w:tcW w:w="7230" w:type="dxa"/>
            <w:tcBorders>
              <w:top w:val="single" w:color="000000" w:sz="4" w:space="0"/>
              <w:left w:val="nil"/>
              <w:bottom w:val="single" w:color="000000" w:sz="4" w:space="0"/>
              <w:right w:val="single" w:color="000000" w:sz="4" w:space="0"/>
            </w:tcBorders>
            <w:vAlign w:val="center"/>
          </w:tcPr>
          <w:p w14:paraId="29D65887">
            <w:pPr>
              <w:widowControl/>
              <w:spacing w:line="40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《同心县市场监督领域全面推行部门联合“双随机、一公开”监管实施方案》</w:t>
            </w:r>
          </w:p>
        </w:tc>
        <w:tc>
          <w:tcPr>
            <w:tcW w:w="1701" w:type="dxa"/>
            <w:tcBorders>
              <w:top w:val="single" w:color="000000" w:sz="4" w:space="0"/>
              <w:left w:val="nil"/>
              <w:bottom w:val="single" w:color="000000" w:sz="4" w:space="0"/>
              <w:right w:val="single" w:color="000000" w:sz="4" w:space="0"/>
            </w:tcBorders>
            <w:vAlign w:val="center"/>
          </w:tcPr>
          <w:p w14:paraId="7ECE4302">
            <w:pPr>
              <w:widowControl/>
              <w:spacing w:line="560" w:lineRule="exact"/>
              <w:jc w:val="center"/>
              <w:textAlignment w:val="center"/>
              <w:rPr>
                <w:rFonts w:ascii="Times New Roman" w:hAnsi="Times New Roman" w:eastAsia="仿宋_GB2312" w:cs="Times New Roman"/>
                <w:color w:val="000000"/>
                <w:sz w:val="28"/>
                <w:szCs w:val="28"/>
              </w:rPr>
            </w:pPr>
            <w:r>
              <w:rPr>
                <w:rFonts w:ascii="Times New Roman" w:hAnsi="Times New Roman" w:eastAsia="仿宋_GB2312" w:cs="Times New Roman"/>
                <w:color w:val="000000"/>
                <w:kern w:val="0"/>
                <w:sz w:val="28"/>
                <w:szCs w:val="28"/>
              </w:rPr>
              <w:t>市场监管局</w:t>
            </w:r>
          </w:p>
        </w:tc>
      </w:tr>
      <w:bookmarkEnd w:id="2"/>
    </w:tbl>
    <w:p w14:paraId="7B72A57E">
      <w:pPr>
        <w:spacing w:line="560" w:lineRule="exact"/>
        <w:ind w:firstLine="640" w:firstLineChars="200"/>
        <w:contextualSpacing/>
        <w:rPr>
          <w:rFonts w:ascii="Times New Roman" w:hAnsi="Times New Roman" w:eastAsia="黑体" w:cs="Times New Roman"/>
          <w:sz w:val="32"/>
          <w:szCs w:val="32"/>
        </w:rPr>
      </w:pPr>
    </w:p>
    <w:p w14:paraId="2B24EBF1">
      <w:pPr>
        <w:widowControl/>
        <w:jc w:val="left"/>
        <w:rPr>
          <w:rFonts w:ascii="Times New Roman" w:hAnsi="Times New Roman" w:eastAsia="黑体" w:cs="Times New Roman"/>
          <w:sz w:val="32"/>
          <w:szCs w:val="32"/>
        </w:rPr>
      </w:pPr>
      <w:r>
        <w:rPr>
          <w:rFonts w:ascii="Times New Roman" w:hAnsi="Times New Roman" w:eastAsia="黑体" w:cs="Times New Roman"/>
          <w:sz w:val="32"/>
          <w:szCs w:val="32"/>
        </w:rPr>
        <w:br w:type="page"/>
      </w:r>
    </w:p>
    <w:p w14:paraId="29B2E50C">
      <w:pPr>
        <w:spacing w:line="560" w:lineRule="exact"/>
        <w:ind w:firstLine="640" w:firstLineChars="200"/>
        <w:contextualSpacing/>
        <w:rPr>
          <w:rFonts w:ascii="Times New Roman" w:hAnsi="Times New Roman" w:eastAsia="黑体" w:cs="Times New Roman"/>
          <w:sz w:val="32"/>
          <w:szCs w:val="32"/>
        </w:rPr>
      </w:pPr>
    </w:p>
    <w:p w14:paraId="6A7680DA">
      <w:pPr>
        <w:spacing w:line="560" w:lineRule="exact"/>
        <w:contextualSpacing/>
        <w:rPr>
          <w:rFonts w:ascii="Times New Roman" w:hAnsi="Times New Roman" w:eastAsia="黑体" w:cs="Times New Roman"/>
          <w:sz w:val="28"/>
          <w:szCs w:val="28"/>
        </w:rPr>
      </w:pPr>
      <w:r>
        <w:rPr>
          <w:rFonts w:ascii="Times New Roman" w:hAnsi="Times New Roman" w:eastAsia="黑体" w:cs="Times New Roman"/>
          <w:sz w:val="28"/>
          <w:szCs w:val="28"/>
        </w:rPr>
        <w:t>附件2</w:t>
      </w:r>
    </w:p>
    <w:p w14:paraId="6DC85094">
      <w:pPr>
        <w:spacing w:line="560" w:lineRule="exact"/>
        <w:contextualSpacing/>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县人民政府决定废止的行政规范性文件</w:t>
      </w:r>
      <w:r>
        <w:rPr>
          <w:rFonts w:hint="eastAsia" w:ascii="Times New Roman" w:hAnsi="Times New Roman" w:eastAsia="方正小标宋简体" w:cs="Times New Roman"/>
          <w:sz w:val="44"/>
          <w:szCs w:val="44"/>
        </w:rPr>
        <w:t>目录</w:t>
      </w:r>
    </w:p>
    <w:tbl>
      <w:tblPr>
        <w:tblStyle w:val="6"/>
        <w:tblW w:w="15021" w:type="dxa"/>
        <w:jc w:val="center"/>
        <w:tblLayout w:type="fixed"/>
        <w:tblCellMar>
          <w:top w:w="0" w:type="dxa"/>
          <w:left w:w="108" w:type="dxa"/>
          <w:bottom w:w="0" w:type="dxa"/>
          <w:right w:w="108" w:type="dxa"/>
        </w:tblCellMar>
      </w:tblPr>
      <w:tblGrid>
        <w:gridCol w:w="927"/>
        <w:gridCol w:w="3321"/>
        <w:gridCol w:w="5812"/>
        <w:gridCol w:w="2126"/>
        <w:gridCol w:w="2835"/>
      </w:tblGrid>
      <w:tr w14:paraId="042E28A3">
        <w:tblPrEx>
          <w:tblCellMar>
            <w:top w:w="0" w:type="dxa"/>
            <w:left w:w="108" w:type="dxa"/>
            <w:bottom w:w="0" w:type="dxa"/>
            <w:right w:w="108" w:type="dxa"/>
          </w:tblCellMar>
        </w:tblPrEx>
        <w:trPr>
          <w:trHeight w:val="525"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26F5EFC8">
            <w:pPr>
              <w:widowControl/>
              <w:jc w:val="center"/>
              <w:textAlignment w:val="center"/>
              <w:rPr>
                <w:rFonts w:ascii="Times New Roman" w:hAnsi="Times New Roman" w:cs="Times New Roman"/>
                <w:b/>
                <w:bCs/>
                <w:color w:val="000000"/>
                <w:sz w:val="28"/>
                <w:szCs w:val="28"/>
              </w:rPr>
            </w:pPr>
            <w:r>
              <w:rPr>
                <w:rFonts w:ascii="Times New Roman" w:hAnsi="Times New Roman" w:cs="Times New Roman"/>
                <w:b/>
                <w:bCs/>
                <w:color w:val="000000"/>
                <w:kern w:val="0"/>
                <w:sz w:val="28"/>
                <w:szCs w:val="28"/>
              </w:rPr>
              <w:t>序号</w:t>
            </w:r>
          </w:p>
        </w:tc>
        <w:tc>
          <w:tcPr>
            <w:tcW w:w="3321" w:type="dxa"/>
            <w:tcBorders>
              <w:top w:val="single" w:color="000000" w:sz="4" w:space="0"/>
              <w:left w:val="nil"/>
              <w:bottom w:val="single" w:color="000000" w:sz="4" w:space="0"/>
              <w:right w:val="single" w:color="000000" w:sz="4" w:space="0"/>
            </w:tcBorders>
            <w:noWrap/>
            <w:vAlign w:val="center"/>
          </w:tcPr>
          <w:p w14:paraId="05418483">
            <w:pPr>
              <w:widowControl/>
              <w:jc w:val="center"/>
              <w:textAlignment w:val="center"/>
              <w:rPr>
                <w:rFonts w:ascii="Times New Roman" w:hAnsi="Times New Roman" w:cs="Times New Roman"/>
                <w:b/>
                <w:bCs/>
                <w:color w:val="000000"/>
                <w:sz w:val="28"/>
                <w:szCs w:val="28"/>
              </w:rPr>
            </w:pPr>
            <w:r>
              <w:rPr>
                <w:rFonts w:ascii="Times New Roman" w:hAnsi="Times New Roman" w:cs="Times New Roman"/>
                <w:b/>
                <w:bCs/>
                <w:color w:val="000000"/>
                <w:kern w:val="0"/>
                <w:sz w:val="28"/>
                <w:szCs w:val="28"/>
              </w:rPr>
              <w:t>文件编号</w:t>
            </w:r>
          </w:p>
        </w:tc>
        <w:tc>
          <w:tcPr>
            <w:tcW w:w="5812" w:type="dxa"/>
            <w:tcBorders>
              <w:top w:val="single" w:color="000000" w:sz="4" w:space="0"/>
              <w:left w:val="nil"/>
              <w:bottom w:val="single" w:color="000000" w:sz="4" w:space="0"/>
              <w:right w:val="single" w:color="000000" w:sz="4" w:space="0"/>
            </w:tcBorders>
            <w:noWrap/>
            <w:vAlign w:val="center"/>
          </w:tcPr>
          <w:p w14:paraId="5734B4BA">
            <w:pPr>
              <w:widowControl/>
              <w:jc w:val="center"/>
              <w:textAlignment w:val="center"/>
              <w:rPr>
                <w:rFonts w:ascii="Times New Roman" w:hAnsi="Times New Roman" w:cs="Times New Roman"/>
                <w:b/>
                <w:bCs/>
                <w:color w:val="000000"/>
                <w:sz w:val="28"/>
                <w:szCs w:val="28"/>
              </w:rPr>
            </w:pPr>
            <w:r>
              <w:rPr>
                <w:rFonts w:ascii="Times New Roman" w:hAnsi="Times New Roman" w:cs="Times New Roman"/>
                <w:b/>
                <w:bCs/>
                <w:color w:val="000000"/>
                <w:kern w:val="0"/>
                <w:sz w:val="28"/>
                <w:szCs w:val="28"/>
              </w:rPr>
              <w:t>文件名称</w:t>
            </w:r>
          </w:p>
        </w:tc>
        <w:tc>
          <w:tcPr>
            <w:tcW w:w="2126" w:type="dxa"/>
            <w:tcBorders>
              <w:top w:val="single" w:color="000000" w:sz="4" w:space="0"/>
              <w:left w:val="nil"/>
              <w:bottom w:val="single" w:color="000000" w:sz="4" w:space="0"/>
              <w:right w:val="single" w:color="000000" w:sz="4" w:space="0"/>
            </w:tcBorders>
            <w:noWrap/>
            <w:vAlign w:val="center"/>
          </w:tcPr>
          <w:p w14:paraId="068AAA33">
            <w:pPr>
              <w:widowControl/>
              <w:jc w:val="center"/>
              <w:textAlignment w:val="center"/>
              <w:rPr>
                <w:rFonts w:ascii="Times New Roman" w:hAnsi="Times New Roman" w:cs="Times New Roman"/>
                <w:b/>
                <w:bCs/>
                <w:color w:val="000000"/>
                <w:sz w:val="28"/>
                <w:szCs w:val="28"/>
              </w:rPr>
            </w:pPr>
            <w:r>
              <w:rPr>
                <w:rFonts w:ascii="Times New Roman" w:hAnsi="Times New Roman" w:cs="Times New Roman"/>
                <w:b/>
                <w:bCs/>
                <w:color w:val="000000"/>
                <w:kern w:val="0"/>
                <w:sz w:val="28"/>
                <w:szCs w:val="28"/>
              </w:rPr>
              <w:t>起草部门</w:t>
            </w:r>
          </w:p>
        </w:tc>
        <w:tc>
          <w:tcPr>
            <w:tcW w:w="2835" w:type="dxa"/>
            <w:tcBorders>
              <w:top w:val="single" w:color="000000" w:sz="4" w:space="0"/>
              <w:left w:val="nil"/>
              <w:bottom w:val="single" w:color="000000" w:sz="4" w:space="0"/>
              <w:right w:val="single" w:color="000000" w:sz="4" w:space="0"/>
            </w:tcBorders>
          </w:tcPr>
          <w:p w14:paraId="73C8453D">
            <w:pPr>
              <w:widowControl/>
              <w:jc w:val="center"/>
              <w:textAlignment w:val="center"/>
              <w:rPr>
                <w:rFonts w:ascii="Times New Roman" w:hAnsi="Times New Roman" w:cs="Times New Roman"/>
                <w:b/>
                <w:bCs/>
                <w:color w:val="000000"/>
                <w:kern w:val="0"/>
                <w:sz w:val="28"/>
                <w:szCs w:val="28"/>
              </w:rPr>
            </w:pPr>
            <w:r>
              <w:rPr>
                <w:rFonts w:hint="eastAsia" w:ascii="Times New Roman" w:hAnsi="Times New Roman" w:cs="Times New Roman"/>
                <w:b/>
                <w:bCs/>
                <w:color w:val="000000"/>
                <w:kern w:val="0"/>
                <w:sz w:val="28"/>
                <w:szCs w:val="28"/>
              </w:rPr>
              <w:t>废止理由</w:t>
            </w:r>
          </w:p>
        </w:tc>
      </w:tr>
      <w:tr w14:paraId="14FDCC7E">
        <w:tblPrEx>
          <w:tblCellMar>
            <w:top w:w="0" w:type="dxa"/>
            <w:left w:w="108" w:type="dxa"/>
            <w:bottom w:w="0" w:type="dxa"/>
            <w:right w:w="108" w:type="dxa"/>
          </w:tblCellMar>
        </w:tblPrEx>
        <w:trPr>
          <w:trHeight w:val="1211"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03365403">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1</w:t>
            </w:r>
          </w:p>
        </w:tc>
        <w:tc>
          <w:tcPr>
            <w:tcW w:w="3321" w:type="dxa"/>
            <w:tcBorders>
              <w:top w:val="single" w:color="000000" w:sz="4" w:space="0"/>
              <w:left w:val="single" w:color="000000" w:sz="4" w:space="0"/>
              <w:bottom w:val="single" w:color="000000" w:sz="4" w:space="0"/>
              <w:right w:val="single" w:color="000000" w:sz="4" w:space="0"/>
            </w:tcBorders>
            <w:vAlign w:val="center"/>
          </w:tcPr>
          <w:p w14:paraId="47CE5FD6">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同疫指办发〔2020〕5号</w:t>
            </w:r>
          </w:p>
        </w:tc>
        <w:tc>
          <w:tcPr>
            <w:tcW w:w="5812" w:type="dxa"/>
            <w:tcBorders>
              <w:top w:val="single" w:color="000000" w:sz="4" w:space="0"/>
              <w:left w:val="nil"/>
              <w:bottom w:val="single" w:color="000000" w:sz="4" w:space="0"/>
              <w:right w:val="single" w:color="000000" w:sz="4" w:space="0"/>
            </w:tcBorders>
            <w:vAlign w:val="center"/>
          </w:tcPr>
          <w:p w14:paraId="05375FB6">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《同心县应对新型冠状病毒感染肺炎疫情交通运输联防联控工作制度》</w:t>
            </w:r>
          </w:p>
        </w:tc>
        <w:tc>
          <w:tcPr>
            <w:tcW w:w="2126" w:type="dxa"/>
            <w:tcBorders>
              <w:top w:val="single" w:color="000000" w:sz="4" w:space="0"/>
              <w:left w:val="nil"/>
              <w:bottom w:val="single" w:color="000000" w:sz="4" w:space="0"/>
              <w:right w:val="single" w:color="000000" w:sz="4" w:space="0"/>
            </w:tcBorders>
            <w:vAlign w:val="center"/>
          </w:tcPr>
          <w:p w14:paraId="2F72735E">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卫健局</w:t>
            </w:r>
          </w:p>
        </w:tc>
        <w:tc>
          <w:tcPr>
            <w:tcW w:w="2835" w:type="dxa"/>
            <w:tcBorders>
              <w:top w:val="single" w:color="000000" w:sz="4" w:space="0"/>
              <w:left w:val="nil"/>
              <w:bottom w:val="single" w:color="000000" w:sz="4" w:space="0"/>
              <w:right w:val="single" w:color="000000" w:sz="4" w:space="0"/>
            </w:tcBorders>
          </w:tcPr>
          <w:p w14:paraId="6260AEFB">
            <w:pPr>
              <w:widowControl/>
              <w:spacing w:line="400" w:lineRule="exact"/>
              <w:jc w:val="center"/>
              <w:textAlignment w:val="center"/>
              <w:rPr>
                <w:rFonts w:ascii="Times New Roman" w:hAnsi="Times New Roman" w:eastAsia="仿宋_GB2312" w:cs="Times New Roman"/>
                <w:color w:val="000000"/>
                <w:kern w:val="0"/>
                <w:sz w:val="28"/>
                <w:szCs w:val="28"/>
              </w:rPr>
            </w:pPr>
            <w:r>
              <w:rPr>
                <w:rFonts w:hint="eastAsia" w:ascii="Times New Roman" w:hAnsi="Times New Roman" w:eastAsia="仿宋_GB2312" w:cs="Times New Roman"/>
                <w:color w:val="000000"/>
                <w:kern w:val="0"/>
                <w:sz w:val="28"/>
                <w:szCs w:val="28"/>
              </w:rPr>
              <w:t>型冠状病毒感染肺炎疫情划入乙类乙管</w:t>
            </w:r>
          </w:p>
        </w:tc>
      </w:tr>
      <w:tr w14:paraId="1C6B10FB">
        <w:tblPrEx>
          <w:tblCellMar>
            <w:top w:w="0" w:type="dxa"/>
            <w:left w:w="108" w:type="dxa"/>
            <w:bottom w:w="0" w:type="dxa"/>
            <w:right w:w="108" w:type="dxa"/>
          </w:tblCellMar>
        </w:tblPrEx>
        <w:trPr>
          <w:trHeight w:val="1129"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30293310">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2</w:t>
            </w:r>
          </w:p>
        </w:tc>
        <w:tc>
          <w:tcPr>
            <w:tcW w:w="3321" w:type="dxa"/>
            <w:tcBorders>
              <w:top w:val="single" w:color="000000" w:sz="4" w:space="0"/>
              <w:left w:val="single" w:color="000000" w:sz="4" w:space="0"/>
              <w:bottom w:val="single" w:color="000000" w:sz="4" w:space="0"/>
              <w:right w:val="single" w:color="000000" w:sz="4" w:space="0"/>
            </w:tcBorders>
            <w:vAlign w:val="center"/>
          </w:tcPr>
          <w:p w14:paraId="3A36D941">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同疫指办发〔2020〕6号</w:t>
            </w:r>
          </w:p>
        </w:tc>
        <w:tc>
          <w:tcPr>
            <w:tcW w:w="5812" w:type="dxa"/>
            <w:tcBorders>
              <w:top w:val="single" w:color="000000" w:sz="4" w:space="0"/>
              <w:left w:val="nil"/>
              <w:bottom w:val="single" w:color="000000" w:sz="4" w:space="0"/>
              <w:right w:val="single" w:color="000000" w:sz="4" w:space="0"/>
            </w:tcBorders>
            <w:vAlign w:val="center"/>
          </w:tcPr>
          <w:p w14:paraId="5B13DEC0">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《同心县应对新型冠状病毒感染肺炎疫情交通防疫检查站点运行制度》</w:t>
            </w:r>
          </w:p>
        </w:tc>
        <w:tc>
          <w:tcPr>
            <w:tcW w:w="2126" w:type="dxa"/>
            <w:tcBorders>
              <w:top w:val="single" w:color="000000" w:sz="4" w:space="0"/>
              <w:left w:val="nil"/>
              <w:bottom w:val="single" w:color="000000" w:sz="4" w:space="0"/>
              <w:right w:val="single" w:color="000000" w:sz="4" w:space="0"/>
            </w:tcBorders>
            <w:vAlign w:val="center"/>
          </w:tcPr>
          <w:p w14:paraId="68A7FF49">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卫健局</w:t>
            </w:r>
          </w:p>
        </w:tc>
        <w:tc>
          <w:tcPr>
            <w:tcW w:w="2835" w:type="dxa"/>
            <w:tcBorders>
              <w:top w:val="single" w:color="000000" w:sz="4" w:space="0"/>
              <w:left w:val="nil"/>
              <w:bottom w:val="single" w:color="000000" w:sz="4" w:space="0"/>
              <w:right w:val="single" w:color="000000" w:sz="4" w:space="0"/>
            </w:tcBorders>
          </w:tcPr>
          <w:p w14:paraId="112DA2E5">
            <w:pPr>
              <w:widowControl/>
              <w:spacing w:line="400" w:lineRule="exact"/>
              <w:jc w:val="center"/>
              <w:textAlignment w:val="center"/>
              <w:rPr>
                <w:rFonts w:ascii="Times New Roman" w:hAnsi="Times New Roman" w:eastAsia="仿宋_GB2312" w:cs="Times New Roman"/>
                <w:color w:val="000000"/>
                <w:kern w:val="0"/>
                <w:sz w:val="28"/>
                <w:szCs w:val="28"/>
              </w:rPr>
            </w:pPr>
            <w:r>
              <w:rPr>
                <w:rFonts w:hint="eastAsia" w:ascii="Times New Roman" w:hAnsi="Times New Roman" w:eastAsia="仿宋_GB2312" w:cs="Times New Roman"/>
                <w:color w:val="000000"/>
                <w:kern w:val="0"/>
                <w:sz w:val="28"/>
                <w:szCs w:val="28"/>
              </w:rPr>
              <w:t>型冠状病毒感染肺炎疫情划入乙类乙管</w:t>
            </w:r>
          </w:p>
        </w:tc>
      </w:tr>
      <w:tr w14:paraId="4A6C5967">
        <w:tblPrEx>
          <w:tblCellMar>
            <w:top w:w="0" w:type="dxa"/>
            <w:left w:w="108" w:type="dxa"/>
            <w:bottom w:w="0" w:type="dxa"/>
            <w:right w:w="108" w:type="dxa"/>
          </w:tblCellMar>
        </w:tblPrEx>
        <w:trPr>
          <w:trHeight w:val="1131"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1BCCD07E">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3</w:t>
            </w:r>
          </w:p>
        </w:tc>
        <w:tc>
          <w:tcPr>
            <w:tcW w:w="3321" w:type="dxa"/>
            <w:tcBorders>
              <w:top w:val="single" w:color="000000" w:sz="4" w:space="0"/>
              <w:left w:val="single" w:color="000000" w:sz="4" w:space="0"/>
              <w:bottom w:val="single" w:color="000000" w:sz="4" w:space="0"/>
              <w:right w:val="single" w:color="000000" w:sz="4" w:space="0"/>
            </w:tcBorders>
            <w:vAlign w:val="center"/>
          </w:tcPr>
          <w:p w14:paraId="3B691975">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同疫指办发〔2020〕8号</w:t>
            </w:r>
          </w:p>
        </w:tc>
        <w:tc>
          <w:tcPr>
            <w:tcW w:w="5812" w:type="dxa"/>
            <w:tcBorders>
              <w:top w:val="single" w:color="000000" w:sz="4" w:space="0"/>
              <w:left w:val="nil"/>
              <w:bottom w:val="single" w:color="000000" w:sz="4" w:space="0"/>
              <w:right w:val="single" w:color="000000" w:sz="4" w:space="0"/>
            </w:tcBorders>
            <w:vAlign w:val="center"/>
          </w:tcPr>
          <w:p w14:paraId="269CFD06">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《同心县应对新型冠状病毒感染肺炎疫情信息工作制度》</w:t>
            </w:r>
          </w:p>
        </w:tc>
        <w:tc>
          <w:tcPr>
            <w:tcW w:w="2126" w:type="dxa"/>
            <w:tcBorders>
              <w:top w:val="single" w:color="000000" w:sz="4" w:space="0"/>
              <w:left w:val="nil"/>
              <w:bottom w:val="single" w:color="000000" w:sz="4" w:space="0"/>
              <w:right w:val="single" w:color="000000" w:sz="4" w:space="0"/>
            </w:tcBorders>
            <w:vAlign w:val="center"/>
          </w:tcPr>
          <w:p w14:paraId="60323422">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卫健局</w:t>
            </w:r>
          </w:p>
        </w:tc>
        <w:tc>
          <w:tcPr>
            <w:tcW w:w="2835" w:type="dxa"/>
            <w:tcBorders>
              <w:top w:val="single" w:color="000000" w:sz="4" w:space="0"/>
              <w:left w:val="nil"/>
              <w:bottom w:val="single" w:color="000000" w:sz="4" w:space="0"/>
              <w:right w:val="single" w:color="000000" w:sz="4" w:space="0"/>
            </w:tcBorders>
          </w:tcPr>
          <w:p w14:paraId="7DFF72FE">
            <w:pPr>
              <w:widowControl/>
              <w:spacing w:line="400" w:lineRule="exact"/>
              <w:jc w:val="center"/>
              <w:textAlignment w:val="center"/>
              <w:rPr>
                <w:rFonts w:ascii="Times New Roman" w:hAnsi="Times New Roman" w:eastAsia="仿宋_GB2312" w:cs="Times New Roman"/>
                <w:color w:val="000000"/>
                <w:kern w:val="0"/>
                <w:sz w:val="28"/>
                <w:szCs w:val="28"/>
              </w:rPr>
            </w:pPr>
            <w:r>
              <w:rPr>
                <w:rFonts w:hint="eastAsia" w:ascii="Times New Roman" w:hAnsi="Times New Roman" w:eastAsia="仿宋_GB2312" w:cs="Times New Roman"/>
                <w:color w:val="000000"/>
                <w:kern w:val="0"/>
                <w:sz w:val="28"/>
                <w:szCs w:val="28"/>
              </w:rPr>
              <w:t>型冠状病毒感染肺炎疫情划入乙类乙管</w:t>
            </w:r>
          </w:p>
        </w:tc>
      </w:tr>
      <w:tr w14:paraId="0577C106">
        <w:tblPrEx>
          <w:tblCellMar>
            <w:top w:w="0" w:type="dxa"/>
            <w:left w:w="108" w:type="dxa"/>
            <w:bottom w:w="0" w:type="dxa"/>
            <w:right w:w="108" w:type="dxa"/>
          </w:tblCellMar>
        </w:tblPrEx>
        <w:trPr>
          <w:trHeight w:val="1411" w:hRule="atLeast"/>
          <w:jc w:val="center"/>
        </w:trPr>
        <w:tc>
          <w:tcPr>
            <w:tcW w:w="927" w:type="dxa"/>
            <w:tcBorders>
              <w:top w:val="single" w:color="000000" w:sz="4" w:space="0"/>
              <w:left w:val="single" w:color="000000" w:sz="4" w:space="0"/>
              <w:bottom w:val="single" w:color="000000" w:sz="4" w:space="0"/>
              <w:right w:val="single" w:color="000000" w:sz="4" w:space="0"/>
            </w:tcBorders>
            <w:noWrap/>
            <w:vAlign w:val="center"/>
          </w:tcPr>
          <w:p w14:paraId="7B0ECF64">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4</w:t>
            </w:r>
          </w:p>
        </w:tc>
        <w:tc>
          <w:tcPr>
            <w:tcW w:w="3321" w:type="dxa"/>
            <w:tcBorders>
              <w:top w:val="single" w:color="000000" w:sz="4" w:space="0"/>
              <w:left w:val="single" w:color="000000" w:sz="4" w:space="0"/>
              <w:bottom w:val="single" w:color="000000" w:sz="4" w:space="0"/>
              <w:right w:val="single" w:color="000000" w:sz="4" w:space="0"/>
            </w:tcBorders>
            <w:vAlign w:val="center"/>
          </w:tcPr>
          <w:p w14:paraId="2D50A0E2">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同疫指办发〔2020〕20号</w:t>
            </w:r>
          </w:p>
        </w:tc>
        <w:tc>
          <w:tcPr>
            <w:tcW w:w="5812" w:type="dxa"/>
            <w:tcBorders>
              <w:top w:val="single" w:color="000000" w:sz="4" w:space="0"/>
              <w:left w:val="nil"/>
              <w:bottom w:val="single" w:color="000000" w:sz="4" w:space="0"/>
              <w:right w:val="single" w:color="000000" w:sz="4" w:space="0"/>
            </w:tcBorders>
            <w:vAlign w:val="center"/>
          </w:tcPr>
          <w:p w14:paraId="56AD3C99">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《同心县应对新型冠状病毒感染肺炎疫情工作指挥部工作规则（试行）》</w:t>
            </w:r>
          </w:p>
        </w:tc>
        <w:tc>
          <w:tcPr>
            <w:tcW w:w="2126" w:type="dxa"/>
            <w:tcBorders>
              <w:top w:val="single" w:color="000000" w:sz="4" w:space="0"/>
              <w:left w:val="nil"/>
              <w:bottom w:val="single" w:color="000000" w:sz="4" w:space="0"/>
              <w:right w:val="single" w:color="000000" w:sz="4" w:space="0"/>
            </w:tcBorders>
            <w:vAlign w:val="center"/>
          </w:tcPr>
          <w:p w14:paraId="6D65234F">
            <w:pPr>
              <w:widowControl/>
              <w:spacing w:line="400" w:lineRule="exact"/>
              <w:jc w:val="center"/>
              <w:textAlignment w:val="center"/>
              <w:rPr>
                <w:rFonts w:ascii="Times New Roman" w:hAnsi="Times New Roman" w:eastAsia="仿宋_GB2312" w:cs="Times New Roman"/>
                <w:color w:val="000000"/>
                <w:kern w:val="0"/>
                <w:sz w:val="28"/>
                <w:szCs w:val="28"/>
              </w:rPr>
            </w:pPr>
            <w:r>
              <w:rPr>
                <w:rFonts w:ascii="Times New Roman" w:hAnsi="Times New Roman" w:eastAsia="仿宋_GB2312" w:cs="Times New Roman"/>
                <w:color w:val="000000"/>
                <w:kern w:val="0"/>
                <w:sz w:val="28"/>
                <w:szCs w:val="28"/>
              </w:rPr>
              <w:t>卫健局</w:t>
            </w:r>
          </w:p>
        </w:tc>
        <w:tc>
          <w:tcPr>
            <w:tcW w:w="2835" w:type="dxa"/>
            <w:tcBorders>
              <w:top w:val="single" w:color="000000" w:sz="4" w:space="0"/>
              <w:left w:val="nil"/>
              <w:bottom w:val="single" w:color="000000" w:sz="4" w:space="0"/>
              <w:right w:val="single" w:color="000000" w:sz="4" w:space="0"/>
            </w:tcBorders>
          </w:tcPr>
          <w:p w14:paraId="03537294">
            <w:pPr>
              <w:widowControl/>
              <w:spacing w:line="400" w:lineRule="exact"/>
              <w:jc w:val="center"/>
              <w:textAlignment w:val="center"/>
              <w:rPr>
                <w:rFonts w:ascii="Times New Roman" w:hAnsi="Times New Roman" w:eastAsia="仿宋_GB2312" w:cs="Times New Roman"/>
                <w:color w:val="000000"/>
                <w:kern w:val="0"/>
                <w:sz w:val="28"/>
                <w:szCs w:val="28"/>
              </w:rPr>
            </w:pPr>
            <w:r>
              <w:rPr>
                <w:rFonts w:hint="eastAsia" w:ascii="Times New Roman" w:hAnsi="Times New Roman" w:eastAsia="仿宋_GB2312" w:cs="Times New Roman"/>
                <w:color w:val="000000"/>
                <w:kern w:val="0"/>
                <w:sz w:val="28"/>
                <w:szCs w:val="28"/>
              </w:rPr>
              <w:t>型冠状病毒感染肺炎疫情划入乙类乙管</w:t>
            </w:r>
          </w:p>
        </w:tc>
      </w:tr>
    </w:tbl>
    <w:p w14:paraId="21986EB1">
      <w:pPr>
        <w:widowControl/>
        <w:jc w:val="left"/>
        <w:rPr>
          <w:rFonts w:ascii="Times New Roman" w:hAnsi="Times New Roman" w:eastAsia="仿宋_GB2312" w:cs="Times New Roman"/>
          <w:sz w:val="32"/>
          <w:szCs w:val="32"/>
        </w:rPr>
      </w:pPr>
      <w:r>
        <w:rPr>
          <w:rFonts w:ascii="Times New Roman" w:hAnsi="Times New Roman" w:eastAsia="仿宋_GB2312" w:cs="Times New Roman"/>
          <w:sz w:val="32"/>
          <w:szCs w:val="32"/>
        </w:rPr>
        <w:br w:type="page"/>
      </w:r>
    </w:p>
    <w:p w14:paraId="3C793C0F">
      <w:pPr>
        <w:spacing w:line="560" w:lineRule="exact"/>
        <w:contextualSpacing/>
        <w:rPr>
          <w:rFonts w:ascii="Times New Roman" w:hAnsi="Times New Roman" w:eastAsia="黑体" w:cs="Times New Roman"/>
          <w:sz w:val="28"/>
          <w:szCs w:val="28"/>
        </w:rPr>
      </w:pPr>
      <w:bookmarkStart w:id="3" w:name="_Hlk177118497"/>
      <w:bookmarkStart w:id="4" w:name="_Hlk177116917"/>
      <w:r>
        <w:rPr>
          <w:rFonts w:ascii="Times New Roman" w:hAnsi="Times New Roman" w:eastAsia="黑体" w:cs="Times New Roman"/>
          <w:sz w:val="28"/>
          <w:szCs w:val="28"/>
        </w:rPr>
        <w:t>附件3</w:t>
      </w:r>
    </w:p>
    <w:p w14:paraId="4BD95CE8">
      <w:pPr>
        <w:spacing w:line="560" w:lineRule="exact"/>
        <w:contextualSpacing/>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县人民政府决定修改的行政规范性文件</w:t>
      </w:r>
      <w:r>
        <w:rPr>
          <w:rFonts w:hint="eastAsia" w:ascii="Times New Roman" w:hAnsi="Times New Roman" w:eastAsia="方正小标宋简体" w:cs="Times New Roman"/>
          <w:sz w:val="44"/>
          <w:szCs w:val="44"/>
        </w:rPr>
        <w:t>目录</w:t>
      </w:r>
    </w:p>
    <w:bookmarkEnd w:id="3"/>
    <w:tbl>
      <w:tblPr>
        <w:tblStyle w:val="6"/>
        <w:tblW w:w="14961" w:type="dxa"/>
        <w:tblInd w:w="-9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2612"/>
        <w:gridCol w:w="1985"/>
        <w:gridCol w:w="1275"/>
        <w:gridCol w:w="8364"/>
      </w:tblGrid>
      <w:tr w14:paraId="02434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725" w:type="dxa"/>
            <w:noWrap/>
            <w:vAlign w:val="center"/>
          </w:tcPr>
          <w:p w14:paraId="0AAA995A">
            <w:pPr>
              <w:widowControl/>
              <w:jc w:val="center"/>
              <w:textAlignment w:val="center"/>
              <w:rPr>
                <w:rFonts w:ascii="Times New Roman" w:hAnsi="Times New Roman" w:eastAsia="黑体" w:cs="Times New Roman"/>
                <w:color w:val="000000"/>
                <w:sz w:val="22"/>
              </w:rPr>
            </w:pPr>
            <w:r>
              <w:rPr>
                <w:rFonts w:ascii="Times New Roman" w:hAnsi="Times New Roman" w:eastAsia="黑体" w:cs="Times New Roman"/>
                <w:color w:val="000000"/>
                <w:kern w:val="0"/>
                <w:sz w:val="22"/>
              </w:rPr>
              <w:t>序号</w:t>
            </w:r>
          </w:p>
        </w:tc>
        <w:tc>
          <w:tcPr>
            <w:tcW w:w="2612" w:type="dxa"/>
            <w:noWrap/>
            <w:vAlign w:val="center"/>
          </w:tcPr>
          <w:p w14:paraId="1D3D606F">
            <w:pPr>
              <w:widowControl/>
              <w:jc w:val="center"/>
              <w:textAlignment w:val="center"/>
              <w:rPr>
                <w:rFonts w:ascii="Times New Roman" w:hAnsi="Times New Roman" w:eastAsia="黑体" w:cs="Times New Roman"/>
                <w:color w:val="000000"/>
                <w:sz w:val="22"/>
              </w:rPr>
            </w:pPr>
            <w:r>
              <w:rPr>
                <w:rFonts w:ascii="Times New Roman" w:hAnsi="Times New Roman" w:eastAsia="黑体" w:cs="Times New Roman"/>
                <w:color w:val="000000"/>
                <w:kern w:val="0"/>
                <w:sz w:val="22"/>
              </w:rPr>
              <w:t>文件编号</w:t>
            </w:r>
          </w:p>
        </w:tc>
        <w:tc>
          <w:tcPr>
            <w:tcW w:w="1985" w:type="dxa"/>
            <w:noWrap/>
            <w:vAlign w:val="center"/>
          </w:tcPr>
          <w:p w14:paraId="7C00F2DB">
            <w:pPr>
              <w:widowControl/>
              <w:jc w:val="center"/>
              <w:textAlignment w:val="center"/>
              <w:rPr>
                <w:rFonts w:ascii="Times New Roman" w:hAnsi="Times New Roman" w:eastAsia="黑体" w:cs="Times New Roman"/>
                <w:color w:val="000000"/>
                <w:sz w:val="22"/>
              </w:rPr>
            </w:pPr>
            <w:r>
              <w:rPr>
                <w:rFonts w:ascii="Times New Roman" w:hAnsi="Times New Roman" w:eastAsia="黑体" w:cs="Times New Roman"/>
                <w:color w:val="000000"/>
                <w:kern w:val="0"/>
                <w:sz w:val="22"/>
              </w:rPr>
              <w:t>文件名称</w:t>
            </w:r>
          </w:p>
        </w:tc>
        <w:tc>
          <w:tcPr>
            <w:tcW w:w="1275" w:type="dxa"/>
            <w:noWrap/>
            <w:vAlign w:val="center"/>
          </w:tcPr>
          <w:p w14:paraId="3E0E8776">
            <w:pPr>
              <w:widowControl/>
              <w:jc w:val="center"/>
              <w:textAlignment w:val="center"/>
              <w:rPr>
                <w:rFonts w:ascii="Times New Roman" w:hAnsi="Times New Roman" w:eastAsia="黑体" w:cs="Times New Roman"/>
                <w:color w:val="000000"/>
                <w:kern w:val="0"/>
                <w:sz w:val="22"/>
              </w:rPr>
            </w:pPr>
            <w:r>
              <w:rPr>
                <w:rFonts w:ascii="Times New Roman" w:hAnsi="Times New Roman" w:eastAsia="黑体" w:cs="Times New Roman"/>
                <w:color w:val="000000"/>
                <w:kern w:val="0"/>
                <w:sz w:val="22"/>
              </w:rPr>
              <w:t>起草</w:t>
            </w:r>
          </w:p>
          <w:p w14:paraId="29E2C079">
            <w:pPr>
              <w:widowControl/>
              <w:jc w:val="center"/>
              <w:textAlignment w:val="center"/>
              <w:rPr>
                <w:rFonts w:ascii="Times New Roman" w:hAnsi="Times New Roman" w:eastAsia="黑体" w:cs="Times New Roman"/>
                <w:color w:val="000000"/>
                <w:sz w:val="22"/>
              </w:rPr>
            </w:pPr>
            <w:r>
              <w:rPr>
                <w:rFonts w:ascii="Times New Roman" w:hAnsi="Times New Roman" w:eastAsia="黑体" w:cs="Times New Roman"/>
                <w:color w:val="000000"/>
                <w:kern w:val="0"/>
                <w:sz w:val="22"/>
              </w:rPr>
              <w:t>部门</w:t>
            </w:r>
          </w:p>
        </w:tc>
        <w:tc>
          <w:tcPr>
            <w:tcW w:w="8364" w:type="dxa"/>
            <w:noWrap/>
            <w:vAlign w:val="center"/>
          </w:tcPr>
          <w:p w14:paraId="267BAB68">
            <w:pPr>
              <w:widowControl/>
              <w:jc w:val="center"/>
              <w:textAlignment w:val="center"/>
              <w:rPr>
                <w:rFonts w:ascii="Times New Roman" w:hAnsi="Times New Roman" w:eastAsia="黑体" w:cs="Times New Roman"/>
                <w:color w:val="000000"/>
                <w:sz w:val="22"/>
              </w:rPr>
            </w:pPr>
            <w:r>
              <w:rPr>
                <w:rFonts w:ascii="Times New Roman" w:hAnsi="Times New Roman" w:eastAsia="黑体" w:cs="Times New Roman"/>
                <w:color w:val="000000"/>
                <w:kern w:val="0"/>
                <w:sz w:val="22"/>
              </w:rPr>
              <w:t>修改理由</w:t>
            </w:r>
          </w:p>
        </w:tc>
      </w:tr>
      <w:tr w14:paraId="202A2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7" w:hRule="atLeast"/>
        </w:trPr>
        <w:tc>
          <w:tcPr>
            <w:tcW w:w="725" w:type="dxa"/>
            <w:noWrap/>
            <w:vAlign w:val="center"/>
          </w:tcPr>
          <w:p w14:paraId="3DEF9740">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1</w:t>
            </w:r>
          </w:p>
        </w:tc>
        <w:tc>
          <w:tcPr>
            <w:tcW w:w="2612" w:type="dxa"/>
            <w:vAlign w:val="center"/>
          </w:tcPr>
          <w:p w14:paraId="6C11204A">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同政办规发〔</w:t>
            </w:r>
            <w:r>
              <w:rPr>
                <w:rFonts w:ascii="Times New Roman" w:hAnsi="Times New Roman" w:eastAsia="宋体" w:cs="Times New Roman"/>
                <w:color w:val="000000"/>
                <w:szCs w:val="21"/>
              </w:rPr>
              <w:t>2020〕5号</w:t>
            </w:r>
          </w:p>
        </w:tc>
        <w:tc>
          <w:tcPr>
            <w:tcW w:w="1985" w:type="dxa"/>
            <w:vAlign w:val="center"/>
          </w:tcPr>
          <w:p w14:paraId="725ABE18">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《同心县保粮食安全应急粮油储备管理办法》</w:t>
            </w:r>
          </w:p>
        </w:tc>
        <w:tc>
          <w:tcPr>
            <w:tcW w:w="1275" w:type="dxa"/>
            <w:vAlign w:val="center"/>
          </w:tcPr>
          <w:p w14:paraId="75A5921A">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发改局</w:t>
            </w:r>
          </w:p>
        </w:tc>
        <w:tc>
          <w:tcPr>
            <w:tcW w:w="8364" w:type="dxa"/>
            <w:vAlign w:val="center"/>
          </w:tcPr>
          <w:p w14:paraId="0FE3F09A">
            <w:pPr>
              <w:widowControl/>
              <w:autoSpaceDE w:val="0"/>
              <w:spacing w:line="360" w:lineRule="exact"/>
              <w:ind w:firstLine="420" w:firstLineChars="200"/>
              <w:jc w:val="left"/>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因制定依据《宁夏回族自治区地方储备粮管理条例》于2023年8月2日经宁夏回族自治区第十三届人民代表大会常务委员会第四次会议修订，将法律责任部分修改为“第四十五条 违反本条例第二十二条规定情形之一的，由粮食和储备行政管理部门责令改正，给予警告，没收违法所得，并处五十万元以上二百万元以下罚款；情节严重的，并处二百万元以上五百万元以下罚款。”</w:t>
            </w:r>
          </w:p>
        </w:tc>
      </w:tr>
      <w:tr w14:paraId="51AF8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7" w:hRule="atLeast"/>
        </w:trPr>
        <w:tc>
          <w:tcPr>
            <w:tcW w:w="725" w:type="dxa"/>
            <w:noWrap/>
            <w:vAlign w:val="center"/>
          </w:tcPr>
          <w:p w14:paraId="28EA1BBE">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2</w:t>
            </w:r>
          </w:p>
        </w:tc>
        <w:tc>
          <w:tcPr>
            <w:tcW w:w="2612" w:type="dxa"/>
            <w:vAlign w:val="center"/>
          </w:tcPr>
          <w:p w14:paraId="08191CA2">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同政规发〔2021〕1号</w:t>
            </w:r>
          </w:p>
        </w:tc>
        <w:tc>
          <w:tcPr>
            <w:tcW w:w="1985" w:type="dxa"/>
            <w:vAlign w:val="center"/>
          </w:tcPr>
          <w:p w14:paraId="60FF5D7E">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关于印发《同心县村级光伏扶贫电站股权及收益分配管理办法》的通知</w:t>
            </w:r>
          </w:p>
        </w:tc>
        <w:tc>
          <w:tcPr>
            <w:tcW w:w="1275" w:type="dxa"/>
            <w:vAlign w:val="center"/>
          </w:tcPr>
          <w:p w14:paraId="35BE2524">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农业农村局</w:t>
            </w:r>
          </w:p>
        </w:tc>
        <w:tc>
          <w:tcPr>
            <w:tcW w:w="8364" w:type="dxa"/>
            <w:vAlign w:val="center"/>
          </w:tcPr>
          <w:p w14:paraId="18D04AC6">
            <w:pPr>
              <w:widowControl/>
              <w:autoSpaceDE w:val="0"/>
              <w:spacing w:line="360" w:lineRule="exact"/>
              <w:ind w:firstLine="420" w:firstLineChars="200"/>
              <w:jc w:val="left"/>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文件中有多处“乡村振兴局、贫困村”等表述，一是因2021年2月25日在全国脱贫攻坚总结表彰大会上，已宣布我国脱贫攻坚战取得了全面胜利，进入乡村振兴阶段，“贫困村”的表述已不符合现阶段乡村振兴工作；二是因机构改革，乡村振兴局已撤销、相关职能并至县农业农村局，因此该文件由农业农村局牵头对文件中“乡村振兴局、贫困村”等表述和文件有效期进行修改。</w:t>
            </w:r>
          </w:p>
        </w:tc>
      </w:tr>
      <w:tr w14:paraId="17A55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5" w:hRule="atLeast"/>
        </w:trPr>
        <w:tc>
          <w:tcPr>
            <w:tcW w:w="725" w:type="dxa"/>
            <w:noWrap/>
            <w:vAlign w:val="center"/>
          </w:tcPr>
          <w:p w14:paraId="465CA3DE">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3</w:t>
            </w:r>
          </w:p>
        </w:tc>
        <w:tc>
          <w:tcPr>
            <w:tcW w:w="2612" w:type="dxa"/>
            <w:vAlign w:val="center"/>
          </w:tcPr>
          <w:p w14:paraId="0D0B474C">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同政办发〔2020〕46号</w:t>
            </w:r>
          </w:p>
        </w:tc>
        <w:tc>
          <w:tcPr>
            <w:tcW w:w="1985" w:type="dxa"/>
            <w:vAlign w:val="center"/>
          </w:tcPr>
          <w:p w14:paraId="31D878B3">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《同心县公益性岗位开发管理办法》</w:t>
            </w:r>
          </w:p>
        </w:tc>
        <w:tc>
          <w:tcPr>
            <w:tcW w:w="1275" w:type="dxa"/>
            <w:vAlign w:val="center"/>
          </w:tcPr>
          <w:p w14:paraId="6B8ED9E8">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人社局</w:t>
            </w:r>
          </w:p>
        </w:tc>
        <w:tc>
          <w:tcPr>
            <w:tcW w:w="8364" w:type="dxa"/>
            <w:vAlign w:val="center"/>
          </w:tcPr>
          <w:p w14:paraId="1297EB48">
            <w:pPr>
              <w:widowControl/>
              <w:autoSpaceDE w:val="0"/>
              <w:spacing w:line="360" w:lineRule="exact"/>
              <w:ind w:firstLine="420" w:firstLineChars="200"/>
              <w:jc w:val="left"/>
              <w:textAlignment w:val="center"/>
              <w:rPr>
                <w:rFonts w:ascii="Times New Roman" w:hAnsi="Times New Roman" w:eastAsia="宋体" w:cs="Times New Roman"/>
                <w:color w:val="000000"/>
                <w:kern w:val="0"/>
                <w:szCs w:val="21"/>
              </w:rPr>
            </w:pPr>
            <w:r>
              <w:rPr>
                <w:rFonts w:ascii="Times New Roman" w:hAnsi="Times New Roman" w:eastAsia="宋体" w:cs="Times New Roman"/>
                <w:color w:val="000000"/>
                <w:kern w:val="0"/>
                <w:szCs w:val="21"/>
              </w:rPr>
              <w:t>与自治区人社厅、财政厅发布的《宁夏回族自治区公益性岗位管理办法》（宁人社规字〔2024〕2号不一致）</w:t>
            </w:r>
          </w:p>
        </w:tc>
      </w:tr>
      <w:tr w14:paraId="4EFB08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3" w:hRule="atLeast"/>
        </w:trPr>
        <w:tc>
          <w:tcPr>
            <w:tcW w:w="725" w:type="dxa"/>
            <w:noWrap/>
            <w:vAlign w:val="center"/>
          </w:tcPr>
          <w:p w14:paraId="4D5969AD">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4</w:t>
            </w:r>
          </w:p>
        </w:tc>
        <w:tc>
          <w:tcPr>
            <w:tcW w:w="2612" w:type="dxa"/>
            <w:vAlign w:val="center"/>
          </w:tcPr>
          <w:p w14:paraId="2D205E12">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同政办规发〔2020〕4号</w:t>
            </w:r>
          </w:p>
        </w:tc>
        <w:tc>
          <w:tcPr>
            <w:tcW w:w="1985" w:type="dxa"/>
            <w:vAlign w:val="center"/>
          </w:tcPr>
          <w:p w14:paraId="02987672">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《同心县扶贫资产监督管理办法》（试行）</w:t>
            </w:r>
          </w:p>
        </w:tc>
        <w:tc>
          <w:tcPr>
            <w:tcW w:w="1275" w:type="dxa"/>
            <w:vAlign w:val="center"/>
          </w:tcPr>
          <w:p w14:paraId="4DEBC267">
            <w:pPr>
              <w:widowControl/>
              <w:spacing w:line="400" w:lineRule="exact"/>
              <w:jc w:val="center"/>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农业农村局</w:t>
            </w:r>
          </w:p>
        </w:tc>
        <w:tc>
          <w:tcPr>
            <w:tcW w:w="8364" w:type="dxa"/>
            <w:vAlign w:val="center"/>
          </w:tcPr>
          <w:p w14:paraId="51EF5FAB">
            <w:pPr>
              <w:widowControl/>
              <w:autoSpaceDE w:val="0"/>
              <w:spacing w:line="360" w:lineRule="exact"/>
              <w:ind w:firstLine="420" w:firstLineChars="200"/>
              <w:jc w:val="left"/>
              <w:textAlignment w:val="center"/>
              <w:rPr>
                <w:rFonts w:ascii="Times New Roman" w:hAnsi="Times New Roman" w:eastAsia="宋体" w:cs="Times New Roman"/>
                <w:color w:val="000000"/>
                <w:szCs w:val="21"/>
              </w:rPr>
            </w:pPr>
            <w:r>
              <w:rPr>
                <w:rFonts w:ascii="Times New Roman" w:hAnsi="Times New Roman" w:eastAsia="宋体" w:cs="Times New Roman"/>
                <w:color w:val="000000"/>
                <w:kern w:val="0"/>
                <w:szCs w:val="21"/>
              </w:rPr>
              <w:t>文件中有多处“扶贫资产、扶贫办、贫困村”等表述。一是2016年以来各级各类扶贫资金建设形成的各类扶贫资产。衔接期形成的资产称为帮扶资产。二是进入乡村振兴阶段，“贫困村”的表述已不符合现阶段乡村振兴工作；二是因机构改革，扶贫办变更为乡村振兴局，现乡村振兴局已撤销、相关职能并至县农业农村局，因此该文件由农业农村局牵头对文件中“扶贫办、贫困村”等表述和文件有效期进行修改。</w:t>
            </w:r>
          </w:p>
        </w:tc>
      </w:tr>
    </w:tbl>
    <w:p w14:paraId="0F0C8BA3">
      <w:pPr>
        <w:widowControl/>
        <w:jc w:val="left"/>
        <w:rPr>
          <w:rFonts w:ascii="Times New Roman" w:hAnsi="Times New Roman" w:eastAsia="仿宋_GB2312" w:cs="Times New Roman"/>
          <w:sz w:val="32"/>
          <w:szCs w:val="32"/>
        </w:rPr>
      </w:pPr>
      <w:r>
        <w:rPr>
          <w:rFonts w:ascii="Times New Roman" w:hAnsi="Times New Roman" w:eastAsia="仿宋_GB2312" w:cs="Times New Roman"/>
          <w:sz w:val="32"/>
          <w:szCs w:val="32"/>
        </w:rPr>
        <w:br w:type="page"/>
      </w:r>
    </w:p>
    <w:bookmarkEnd w:id="4"/>
    <w:p w14:paraId="1E8F7B66">
      <w:pPr>
        <w:spacing w:line="560" w:lineRule="exact"/>
        <w:ind w:firstLine="640" w:firstLineChars="200"/>
        <w:contextualSpacing/>
        <w:rPr>
          <w:rFonts w:ascii="Times New Roman" w:hAnsi="Times New Roman" w:eastAsia="仿宋_GB2312" w:cs="Times New Roman"/>
          <w:sz w:val="32"/>
          <w:szCs w:val="32"/>
        </w:rPr>
        <w:sectPr>
          <w:pgSz w:w="16838" w:h="11906" w:orient="landscape"/>
          <w:pgMar w:top="1588" w:right="2098" w:bottom="1474" w:left="1985" w:header="851" w:footer="992" w:gutter="0"/>
          <w:cols w:space="425" w:num="1"/>
          <w:docGrid w:type="lines" w:linePitch="312" w:charSpace="0"/>
        </w:sectPr>
      </w:pPr>
    </w:p>
    <w:p w14:paraId="6C070EBA">
      <w:pPr>
        <w:spacing w:line="560" w:lineRule="exact"/>
        <w:ind w:firstLine="640" w:firstLineChars="200"/>
        <w:contextualSpacing/>
        <w:rPr>
          <w:rFonts w:ascii="Times New Roman" w:hAnsi="Times New Roman" w:eastAsia="仿宋_GB2312" w:cs="Times New Roman"/>
          <w:sz w:val="32"/>
          <w:szCs w:val="32"/>
        </w:rPr>
      </w:pPr>
    </w:p>
    <w:p w14:paraId="0202F690">
      <w:pPr>
        <w:spacing w:line="200" w:lineRule="exact"/>
        <w:contextualSpacing/>
        <w:rPr>
          <w:rFonts w:ascii="Times New Roman" w:hAnsi="Times New Roman" w:eastAsia="仿宋_GB2312" w:cs="Times New Roman"/>
          <w:sz w:val="28"/>
          <w:szCs w:val="28"/>
        </w:rPr>
      </w:pPr>
    </w:p>
    <w:p w14:paraId="388BADBB">
      <w:pPr>
        <w:spacing w:line="200" w:lineRule="exact"/>
        <w:ind w:firstLine="140" w:firstLineChars="50"/>
        <w:contextualSpacing/>
        <w:rPr>
          <w:rFonts w:ascii="Times New Roman" w:hAnsi="Times New Roman" w:eastAsia="仿宋_GB2312" w:cs="Times New Roman"/>
          <w:sz w:val="28"/>
          <w:szCs w:val="28"/>
        </w:rPr>
      </w:pPr>
    </w:p>
    <w:p w14:paraId="43CE85DB">
      <w:pPr>
        <w:spacing w:line="200" w:lineRule="exact"/>
        <w:ind w:firstLine="140" w:firstLineChars="50"/>
        <w:contextualSpacing/>
        <w:rPr>
          <w:rFonts w:ascii="Times New Roman" w:hAnsi="Times New Roman" w:eastAsia="仿宋_GB2312" w:cs="Times New Roman"/>
          <w:sz w:val="28"/>
          <w:szCs w:val="28"/>
        </w:rPr>
      </w:pPr>
    </w:p>
    <w:p w14:paraId="57A0A315">
      <w:pPr>
        <w:spacing w:line="200" w:lineRule="exact"/>
        <w:ind w:firstLine="140" w:firstLineChars="50"/>
        <w:contextualSpacing/>
        <w:rPr>
          <w:rFonts w:ascii="Times New Roman" w:hAnsi="Times New Roman" w:eastAsia="仿宋_GB2312" w:cs="Times New Roman"/>
          <w:sz w:val="28"/>
          <w:szCs w:val="28"/>
        </w:rPr>
      </w:pPr>
    </w:p>
    <w:p w14:paraId="0D377E35">
      <w:pPr>
        <w:spacing w:line="200" w:lineRule="exact"/>
        <w:ind w:firstLine="140" w:firstLineChars="50"/>
        <w:contextualSpacing/>
        <w:rPr>
          <w:rFonts w:ascii="Times New Roman" w:hAnsi="Times New Roman" w:eastAsia="仿宋_GB2312" w:cs="Times New Roman"/>
          <w:sz w:val="28"/>
          <w:szCs w:val="28"/>
        </w:rPr>
      </w:pPr>
    </w:p>
    <w:p w14:paraId="47A9457F">
      <w:pPr>
        <w:spacing w:line="200" w:lineRule="exact"/>
        <w:ind w:firstLine="140" w:firstLineChars="50"/>
        <w:contextualSpacing/>
        <w:rPr>
          <w:rFonts w:ascii="Times New Roman" w:hAnsi="Times New Roman" w:eastAsia="仿宋_GB2312" w:cs="Times New Roman"/>
          <w:sz w:val="28"/>
          <w:szCs w:val="28"/>
        </w:rPr>
      </w:pPr>
    </w:p>
    <w:p w14:paraId="72154513">
      <w:pPr>
        <w:spacing w:line="200" w:lineRule="exact"/>
        <w:ind w:firstLine="140" w:firstLineChars="50"/>
        <w:contextualSpacing/>
        <w:rPr>
          <w:rFonts w:ascii="Times New Roman" w:hAnsi="Times New Roman" w:eastAsia="仿宋_GB2312" w:cs="Times New Roman"/>
          <w:sz w:val="28"/>
          <w:szCs w:val="28"/>
        </w:rPr>
      </w:pPr>
    </w:p>
    <w:p w14:paraId="6AF8CCAD">
      <w:pPr>
        <w:spacing w:line="200" w:lineRule="exact"/>
        <w:ind w:firstLine="140" w:firstLineChars="50"/>
        <w:contextualSpacing/>
        <w:rPr>
          <w:rFonts w:ascii="Times New Roman" w:hAnsi="Times New Roman" w:eastAsia="仿宋_GB2312" w:cs="Times New Roman"/>
          <w:sz w:val="28"/>
          <w:szCs w:val="28"/>
        </w:rPr>
      </w:pPr>
    </w:p>
    <w:p w14:paraId="002B1D80">
      <w:pPr>
        <w:spacing w:line="200" w:lineRule="exact"/>
        <w:ind w:firstLine="140" w:firstLineChars="50"/>
        <w:contextualSpacing/>
        <w:rPr>
          <w:rFonts w:ascii="Times New Roman" w:hAnsi="Times New Roman" w:eastAsia="仿宋_GB2312" w:cs="Times New Roman"/>
          <w:sz w:val="28"/>
          <w:szCs w:val="28"/>
        </w:rPr>
      </w:pPr>
    </w:p>
    <w:p w14:paraId="489B077A">
      <w:pPr>
        <w:spacing w:line="200" w:lineRule="exact"/>
        <w:ind w:firstLine="140" w:firstLineChars="50"/>
        <w:contextualSpacing/>
        <w:rPr>
          <w:rFonts w:ascii="Times New Roman" w:hAnsi="Times New Roman" w:eastAsia="仿宋_GB2312" w:cs="Times New Roman"/>
          <w:sz w:val="28"/>
          <w:szCs w:val="28"/>
        </w:rPr>
      </w:pPr>
    </w:p>
    <w:p w14:paraId="23C0B02F">
      <w:pPr>
        <w:spacing w:line="200" w:lineRule="exact"/>
        <w:ind w:firstLine="140" w:firstLineChars="50"/>
        <w:contextualSpacing/>
        <w:rPr>
          <w:rFonts w:ascii="Times New Roman" w:hAnsi="Times New Roman" w:eastAsia="仿宋_GB2312" w:cs="Times New Roman"/>
          <w:sz w:val="28"/>
          <w:szCs w:val="28"/>
        </w:rPr>
      </w:pPr>
    </w:p>
    <w:p w14:paraId="6BA32918">
      <w:pPr>
        <w:spacing w:line="200" w:lineRule="exact"/>
        <w:ind w:firstLine="140" w:firstLineChars="50"/>
        <w:contextualSpacing/>
        <w:rPr>
          <w:rFonts w:ascii="Times New Roman" w:hAnsi="Times New Roman" w:eastAsia="仿宋_GB2312" w:cs="Times New Roman"/>
          <w:sz w:val="28"/>
          <w:szCs w:val="28"/>
        </w:rPr>
      </w:pPr>
    </w:p>
    <w:p w14:paraId="1D3826EA">
      <w:pPr>
        <w:spacing w:line="200" w:lineRule="exact"/>
        <w:ind w:firstLine="140" w:firstLineChars="50"/>
        <w:contextualSpacing/>
        <w:rPr>
          <w:rFonts w:ascii="Times New Roman" w:hAnsi="Times New Roman" w:eastAsia="仿宋_GB2312" w:cs="Times New Roman"/>
          <w:sz w:val="28"/>
          <w:szCs w:val="28"/>
        </w:rPr>
      </w:pPr>
    </w:p>
    <w:p w14:paraId="1C34D0C7">
      <w:pPr>
        <w:spacing w:line="200" w:lineRule="exact"/>
        <w:ind w:firstLine="140" w:firstLineChars="50"/>
        <w:contextualSpacing/>
        <w:rPr>
          <w:rFonts w:ascii="Times New Roman" w:hAnsi="Times New Roman" w:eastAsia="仿宋_GB2312" w:cs="Times New Roman"/>
          <w:sz w:val="28"/>
          <w:szCs w:val="28"/>
        </w:rPr>
      </w:pPr>
    </w:p>
    <w:p w14:paraId="28E18812">
      <w:pPr>
        <w:spacing w:line="200" w:lineRule="exact"/>
        <w:ind w:firstLine="140" w:firstLineChars="50"/>
        <w:contextualSpacing/>
        <w:rPr>
          <w:rFonts w:ascii="Times New Roman" w:hAnsi="Times New Roman" w:eastAsia="仿宋_GB2312" w:cs="Times New Roman"/>
          <w:sz w:val="28"/>
          <w:szCs w:val="28"/>
        </w:rPr>
      </w:pPr>
    </w:p>
    <w:p w14:paraId="5B2E2D17">
      <w:pPr>
        <w:spacing w:line="200" w:lineRule="exact"/>
        <w:ind w:firstLine="140" w:firstLineChars="50"/>
        <w:contextualSpacing/>
        <w:rPr>
          <w:rFonts w:ascii="Times New Roman" w:hAnsi="Times New Roman" w:eastAsia="仿宋_GB2312" w:cs="Times New Roman"/>
          <w:sz w:val="28"/>
          <w:szCs w:val="28"/>
        </w:rPr>
      </w:pPr>
    </w:p>
    <w:p w14:paraId="4E40E018">
      <w:pPr>
        <w:spacing w:line="200" w:lineRule="exact"/>
        <w:ind w:firstLine="140" w:firstLineChars="50"/>
        <w:contextualSpacing/>
        <w:rPr>
          <w:rFonts w:ascii="Times New Roman" w:hAnsi="Times New Roman" w:eastAsia="仿宋_GB2312" w:cs="Times New Roman"/>
          <w:sz w:val="28"/>
          <w:szCs w:val="28"/>
        </w:rPr>
      </w:pPr>
    </w:p>
    <w:p w14:paraId="11CFC21C">
      <w:pPr>
        <w:spacing w:line="200" w:lineRule="exact"/>
        <w:ind w:firstLine="140" w:firstLineChars="50"/>
        <w:contextualSpacing/>
        <w:rPr>
          <w:rFonts w:ascii="Times New Roman" w:hAnsi="Times New Roman" w:eastAsia="仿宋_GB2312" w:cs="Times New Roman"/>
          <w:sz w:val="28"/>
          <w:szCs w:val="28"/>
        </w:rPr>
      </w:pPr>
    </w:p>
    <w:p w14:paraId="70EA8139">
      <w:pPr>
        <w:spacing w:line="200" w:lineRule="exact"/>
        <w:ind w:firstLine="140" w:firstLineChars="50"/>
        <w:contextualSpacing/>
        <w:rPr>
          <w:rFonts w:ascii="Times New Roman" w:hAnsi="Times New Roman" w:eastAsia="仿宋_GB2312" w:cs="Times New Roman"/>
          <w:sz w:val="28"/>
          <w:szCs w:val="28"/>
        </w:rPr>
      </w:pPr>
    </w:p>
    <w:p w14:paraId="5B4A46C6">
      <w:pPr>
        <w:spacing w:line="200" w:lineRule="exact"/>
        <w:ind w:firstLine="140" w:firstLineChars="50"/>
        <w:contextualSpacing/>
        <w:rPr>
          <w:rFonts w:ascii="Times New Roman" w:hAnsi="Times New Roman" w:eastAsia="仿宋_GB2312" w:cs="Times New Roman"/>
          <w:sz w:val="28"/>
          <w:szCs w:val="28"/>
        </w:rPr>
      </w:pPr>
    </w:p>
    <w:p w14:paraId="30F5C771">
      <w:pPr>
        <w:spacing w:line="200" w:lineRule="exact"/>
        <w:ind w:firstLine="140" w:firstLineChars="50"/>
        <w:contextualSpacing/>
        <w:rPr>
          <w:rFonts w:ascii="Times New Roman" w:hAnsi="Times New Roman" w:eastAsia="仿宋_GB2312" w:cs="Times New Roman"/>
          <w:sz w:val="28"/>
          <w:szCs w:val="28"/>
        </w:rPr>
      </w:pPr>
    </w:p>
    <w:p w14:paraId="2457E288">
      <w:pPr>
        <w:spacing w:line="200" w:lineRule="exact"/>
        <w:ind w:firstLine="140" w:firstLineChars="50"/>
        <w:contextualSpacing/>
        <w:rPr>
          <w:rFonts w:ascii="Times New Roman" w:hAnsi="Times New Roman" w:eastAsia="仿宋_GB2312" w:cs="Times New Roman"/>
          <w:sz w:val="28"/>
          <w:szCs w:val="28"/>
        </w:rPr>
      </w:pPr>
    </w:p>
    <w:p w14:paraId="6D1804FC">
      <w:pPr>
        <w:spacing w:line="200" w:lineRule="exact"/>
        <w:ind w:firstLine="140" w:firstLineChars="50"/>
        <w:contextualSpacing/>
        <w:rPr>
          <w:rFonts w:ascii="Times New Roman" w:hAnsi="Times New Roman" w:eastAsia="仿宋_GB2312" w:cs="Times New Roman"/>
          <w:sz w:val="28"/>
          <w:szCs w:val="28"/>
        </w:rPr>
      </w:pPr>
    </w:p>
    <w:p w14:paraId="3834B19D">
      <w:pPr>
        <w:spacing w:line="200" w:lineRule="exact"/>
        <w:ind w:firstLine="140" w:firstLineChars="50"/>
        <w:contextualSpacing/>
        <w:rPr>
          <w:rFonts w:ascii="Times New Roman" w:hAnsi="Times New Roman" w:eastAsia="仿宋_GB2312" w:cs="Times New Roman"/>
          <w:sz w:val="28"/>
          <w:szCs w:val="28"/>
        </w:rPr>
      </w:pPr>
    </w:p>
    <w:p w14:paraId="2B06FB2D">
      <w:pPr>
        <w:spacing w:line="200" w:lineRule="exact"/>
        <w:ind w:firstLine="140" w:firstLineChars="50"/>
        <w:contextualSpacing/>
        <w:rPr>
          <w:rFonts w:ascii="Times New Roman" w:hAnsi="Times New Roman" w:eastAsia="仿宋_GB2312" w:cs="Times New Roman"/>
          <w:sz w:val="28"/>
          <w:szCs w:val="28"/>
        </w:rPr>
      </w:pPr>
    </w:p>
    <w:p w14:paraId="35193E1B">
      <w:pPr>
        <w:spacing w:line="200" w:lineRule="exact"/>
        <w:ind w:firstLine="140" w:firstLineChars="50"/>
        <w:contextualSpacing/>
        <w:rPr>
          <w:rFonts w:ascii="Times New Roman" w:hAnsi="Times New Roman" w:eastAsia="仿宋_GB2312" w:cs="Times New Roman"/>
          <w:sz w:val="28"/>
          <w:szCs w:val="28"/>
        </w:rPr>
      </w:pPr>
    </w:p>
    <w:p w14:paraId="3F9B3088">
      <w:pPr>
        <w:spacing w:line="200" w:lineRule="exact"/>
        <w:ind w:firstLine="140" w:firstLineChars="50"/>
        <w:contextualSpacing/>
        <w:rPr>
          <w:rFonts w:ascii="Times New Roman" w:hAnsi="Times New Roman" w:eastAsia="仿宋_GB2312" w:cs="Times New Roman"/>
          <w:sz w:val="28"/>
          <w:szCs w:val="28"/>
        </w:rPr>
      </w:pPr>
    </w:p>
    <w:p w14:paraId="7B6FDF12">
      <w:pPr>
        <w:spacing w:line="200" w:lineRule="exact"/>
        <w:ind w:firstLine="140" w:firstLineChars="50"/>
        <w:contextualSpacing/>
        <w:rPr>
          <w:rFonts w:ascii="Times New Roman" w:hAnsi="Times New Roman" w:eastAsia="仿宋_GB2312" w:cs="Times New Roman"/>
          <w:sz w:val="28"/>
          <w:szCs w:val="28"/>
        </w:rPr>
      </w:pPr>
    </w:p>
    <w:p w14:paraId="10BC5D07">
      <w:pPr>
        <w:spacing w:line="200" w:lineRule="exact"/>
        <w:ind w:firstLine="140" w:firstLineChars="50"/>
        <w:contextualSpacing/>
        <w:rPr>
          <w:rFonts w:ascii="Times New Roman" w:hAnsi="Times New Roman" w:eastAsia="仿宋_GB2312" w:cs="Times New Roman"/>
          <w:sz w:val="28"/>
          <w:szCs w:val="28"/>
        </w:rPr>
      </w:pPr>
    </w:p>
    <w:p w14:paraId="21144E87">
      <w:pPr>
        <w:spacing w:line="200" w:lineRule="exact"/>
        <w:ind w:firstLine="140" w:firstLineChars="50"/>
        <w:contextualSpacing/>
        <w:rPr>
          <w:rFonts w:ascii="Times New Roman" w:hAnsi="Times New Roman" w:eastAsia="仿宋_GB2312" w:cs="Times New Roman"/>
          <w:sz w:val="28"/>
          <w:szCs w:val="28"/>
        </w:rPr>
      </w:pPr>
    </w:p>
    <w:p w14:paraId="5012AE46">
      <w:pPr>
        <w:spacing w:line="200" w:lineRule="exact"/>
        <w:ind w:firstLine="140" w:firstLineChars="50"/>
        <w:contextualSpacing/>
        <w:rPr>
          <w:rFonts w:ascii="Times New Roman" w:hAnsi="Times New Roman" w:eastAsia="仿宋_GB2312" w:cs="Times New Roman"/>
          <w:sz w:val="28"/>
          <w:szCs w:val="28"/>
        </w:rPr>
      </w:pPr>
    </w:p>
    <w:p w14:paraId="181F5BBA">
      <w:pPr>
        <w:spacing w:line="200" w:lineRule="exact"/>
        <w:ind w:firstLine="140" w:firstLineChars="50"/>
        <w:contextualSpacing/>
        <w:rPr>
          <w:rFonts w:ascii="Times New Roman" w:hAnsi="Times New Roman" w:eastAsia="仿宋_GB2312" w:cs="Times New Roman"/>
          <w:sz w:val="28"/>
          <w:szCs w:val="28"/>
        </w:rPr>
      </w:pPr>
    </w:p>
    <w:p w14:paraId="21F75738">
      <w:pPr>
        <w:spacing w:line="200" w:lineRule="exact"/>
        <w:ind w:firstLine="140" w:firstLineChars="50"/>
        <w:contextualSpacing/>
        <w:rPr>
          <w:rFonts w:ascii="Times New Roman" w:hAnsi="Times New Roman" w:eastAsia="仿宋_GB2312" w:cs="Times New Roman"/>
          <w:sz w:val="28"/>
          <w:szCs w:val="28"/>
        </w:rPr>
      </w:pPr>
    </w:p>
    <w:p w14:paraId="148B8F75">
      <w:pPr>
        <w:spacing w:line="200" w:lineRule="exact"/>
        <w:ind w:firstLine="140" w:firstLineChars="50"/>
        <w:contextualSpacing/>
        <w:rPr>
          <w:rFonts w:ascii="Times New Roman" w:hAnsi="Times New Roman" w:eastAsia="仿宋_GB2312" w:cs="Times New Roman"/>
          <w:sz w:val="28"/>
          <w:szCs w:val="28"/>
        </w:rPr>
      </w:pPr>
    </w:p>
    <w:p w14:paraId="145CF228">
      <w:pPr>
        <w:spacing w:line="200" w:lineRule="exact"/>
        <w:ind w:firstLine="140" w:firstLineChars="50"/>
        <w:contextualSpacing/>
        <w:rPr>
          <w:rFonts w:ascii="Times New Roman" w:hAnsi="Times New Roman" w:eastAsia="仿宋_GB2312" w:cs="Times New Roman"/>
          <w:sz w:val="28"/>
          <w:szCs w:val="28"/>
        </w:rPr>
      </w:pPr>
    </w:p>
    <w:p w14:paraId="6FF25A05">
      <w:pPr>
        <w:spacing w:line="200" w:lineRule="exact"/>
        <w:ind w:firstLine="140" w:firstLineChars="50"/>
        <w:contextualSpacing/>
        <w:rPr>
          <w:rFonts w:ascii="Times New Roman" w:hAnsi="Times New Roman" w:eastAsia="仿宋_GB2312" w:cs="Times New Roman"/>
          <w:sz w:val="28"/>
          <w:szCs w:val="28"/>
        </w:rPr>
      </w:pPr>
    </w:p>
    <w:p w14:paraId="166131BE">
      <w:pPr>
        <w:spacing w:line="200" w:lineRule="exact"/>
        <w:ind w:firstLine="140" w:firstLineChars="50"/>
        <w:contextualSpacing/>
        <w:rPr>
          <w:rFonts w:ascii="Times New Roman" w:hAnsi="Times New Roman" w:eastAsia="仿宋_GB2312" w:cs="Times New Roman"/>
          <w:sz w:val="28"/>
          <w:szCs w:val="28"/>
        </w:rPr>
      </w:pPr>
    </w:p>
    <w:p w14:paraId="184F7F15">
      <w:pPr>
        <w:spacing w:line="200" w:lineRule="exact"/>
        <w:ind w:firstLine="140" w:firstLineChars="50"/>
        <w:contextualSpacing/>
        <w:rPr>
          <w:rFonts w:ascii="Times New Roman" w:hAnsi="Times New Roman" w:eastAsia="仿宋_GB2312" w:cs="Times New Roman"/>
          <w:sz w:val="28"/>
          <w:szCs w:val="28"/>
        </w:rPr>
      </w:pPr>
    </w:p>
    <w:p w14:paraId="2D7CB097">
      <w:pPr>
        <w:spacing w:line="200" w:lineRule="exact"/>
        <w:ind w:firstLine="140" w:firstLineChars="50"/>
        <w:contextualSpacing/>
        <w:rPr>
          <w:rFonts w:ascii="Times New Roman" w:hAnsi="Times New Roman" w:eastAsia="仿宋_GB2312" w:cs="Times New Roman"/>
          <w:sz w:val="28"/>
          <w:szCs w:val="28"/>
        </w:rPr>
      </w:pPr>
    </w:p>
    <w:p w14:paraId="6AE2D0F9">
      <w:pPr>
        <w:spacing w:line="200" w:lineRule="exact"/>
        <w:ind w:firstLine="140" w:firstLineChars="50"/>
        <w:contextualSpacing/>
        <w:rPr>
          <w:rFonts w:ascii="Times New Roman" w:hAnsi="Times New Roman" w:eastAsia="仿宋_GB2312" w:cs="Times New Roman"/>
          <w:sz w:val="28"/>
          <w:szCs w:val="28"/>
        </w:rPr>
      </w:pPr>
    </w:p>
    <w:p w14:paraId="59781B9D">
      <w:pPr>
        <w:spacing w:line="200" w:lineRule="exact"/>
        <w:ind w:firstLine="140" w:firstLineChars="50"/>
        <w:contextualSpacing/>
        <w:rPr>
          <w:rFonts w:ascii="Times New Roman" w:hAnsi="Times New Roman" w:eastAsia="仿宋_GB2312" w:cs="Times New Roman"/>
          <w:sz w:val="28"/>
          <w:szCs w:val="28"/>
        </w:rPr>
      </w:pPr>
    </w:p>
    <w:p w14:paraId="4BE98EC6">
      <w:pPr>
        <w:spacing w:line="200" w:lineRule="exact"/>
        <w:ind w:firstLine="140" w:firstLineChars="50"/>
        <w:contextualSpacing/>
        <w:rPr>
          <w:rFonts w:ascii="Times New Roman" w:hAnsi="Times New Roman" w:eastAsia="仿宋_GB2312" w:cs="Times New Roman"/>
          <w:sz w:val="28"/>
          <w:szCs w:val="28"/>
        </w:rPr>
      </w:pPr>
    </w:p>
    <w:p w14:paraId="733002B8">
      <w:pPr>
        <w:spacing w:line="200" w:lineRule="exact"/>
        <w:ind w:firstLine="140" w:firstLineChars="50"/>
        <w:contextualSpacing/>
        <w:rPr>
          <w:rFonts w:ascii="Times New Roman" w:hAnsi="Times New Roman" w:eastAsia="仿宋_GB2312" w:cs="Times New Roman"/>
          <w:sz w:val="28"/>
          <w:szCs w:val="28"/>
        </w:rPr>
      </w:pPr>
    </w:p>
    <w:p w14:paraId="3AF8E948">
      <w:pPr>
        <w:spacing w:line="200" w:lineRule="exact"/>
        <w:ind w:firstLine="140" w:firstLineChars="50"/>
        <w:contextualSpacing/>
        <w:rPr>
          <w:rFonts w:ascii="Times New Roman" w:hAnsi="Times New Roman" w:eastAsia="仿宋_GB2312" w:cs="Times New Roman"/>
          <w:sz w:val="28"/>
          <w:szCs w:val="28"/>
        </w:rPr>
      </w:pPr>
    </w:p>
    <w:p w14:paraId="5DC72680">
      <w:pPr>
        <w:spacing w:line="200" w:lineRule="exact"/>
        <w:ind w:firstLine="140" w:firstLineChars="50"/>
        <w:contextualSpacing/>
        <w:rPr>
          <w:rFonts w:ascii="Times New Roman" w:hAnsi="Times New Roman" w:eastAsia="仿宋_GB2312" w:cs="Times New Roman"/>
          <w:sz w:val="28"/>
          <w:szCs w:val="28"/>
        </w:rPr>
      </w:pPr>
    </w:p>
    <w:p w14:paraId="65BC8611">
      <w:pPr>
        <w:spacing w:line="200" w:lineRule="exact"/>
        <w:ind w:firstLine="140" w:firstLineChars="50"/>
        <w:contextualSpacing/>
        <w:rPr>
          <w:rFonts w:ascii="Times New Roman" w:hAnsi="Times New Roman" w:eastAsia="仿宋_GB2312" w:cs="Times New Roman"/>
          <w:sz w:val="28"/>
          <w:szCs w:val="28"/>
        </w:rPr>
      </w:pPr>
    </w:p>
    <w:p w14:paraId="57B8A5FA">
      <w:pPr>
        <w:spacing w:line="200" w:lineRule="exact"/>
        <w:ind w:firstLine="140" w:firstLineChars="50"/>
        <w:contextualSpacing/>
        <w:rPr>
          <w:rFonts w:ascii="Times New Roman" w:hAnsi="Times New Roman" w:eastAsia="仿宋_GB2312" w:cs="Times New Roman"/>
          <w:sz w:val="28"/>
          <w:szCs w:val="28"/>
        </w:rPr>
      </w:pPr>
    </w:p>
    <w:p w14:paraId="12C9877B">
      <w:pPr>
        <w:spacing w:line="200" w:lineRule="exact"/>
        <w:ind w:firstLine="140" w:firstLineChars="50"/>
        <w:contextualSpacing/>
        <w:rPr>
          <w:rFonts w:ascii="Times New Roman" w:hAnsi="Times New Roman" w:eastAsia="仿宋_GB2312" w:cs="Times New Roman"/>
          <w:sz w:val="28"/>
          <w:szCs w:val="28"/>
        </w:rPr>
      </w:pPr>
    </w:p>
    <w:p w14:paraId="4A553661">
      <w:pPr>
        <w:spacing w:line="200" w:lineRule="exact"/>
        <w:ind w:firstLine="140" w:firstLineChars="50"/>
        <w:contextualSpacing/>
        <w:rPr>
          <w:rFonts w:ascii="Times New Roman" w:hAnsi="Times New Roman" w:eastAsia="仿宋_GB2312" w:cs="Times New Roman"/>
          <w:sz w:val="28"/>
          <w:szCs w:val="28"/>
        </w:rPr>
      </w:pPr>
    </w:p>
    <w:p w14:paraId="6208A8CF">
      <w:pPr>
        <w:spacing w:line="200" w:lineRule="exact"/>
        <w:ind w:firstLine="140" w:firstLineChars="50"/>
        <w:contextualSpacing/>
        <w:rPr>
          <w:rFonts w:ascii="Times New Roman" w:hAnsi="Times New Roman" w:eastAsia="仿宋_GB2312" w:cs="Times New Roman"/>
          <w:sz w:val="28"/>
          <w:szCs w:val="28"/>
        </w:rPr>
      </w:pPr>
    </w:p>
    <w:p w14:paraId="26BD85C4">
      <w:pPr>
        <w:spacing w:line="200" w:lineRule="exact"/>
        <w:contextualSpacing/>
        <w:rPr>
          <w:rFonts w:ascii="Times New Roman" w:hAnsi="Times New Roman" w:eastAsia="仿宋_GB2312" w:cs="Times New Roman"/>
          <w:sz w:val="28"/>
          <w:szCs w:val="28"/>
        </w:rPr>
      </w:pPr>
    </w:p>
    <w:p w14:paraId="124303CE">
      <w:pPr>
        <w:spacing w:line="200" w:lineRule="exact"/>
        <w:contextualSpacing/>
        <w:rPr>
          <w:rFonts w:ascii="Times New Roman" w:hAnsi="Times New Roman" w:eastAsia="仿宋_GB2312" w:cs="Times New Roman"/>
          <w:sz w:val="28"/>
          <w:szCs w:val="28"/>
        </w:rPr>
      </w:pPr>
    </w:p>
    <w:p w14:paraId="6EDFAD03">
      <w:pPr>
        <w:spacing w:line="400" w:lineRule="exact"/>
        <w:ind w:firstLine="140" w:firstLineChars="50"/>
        <w:contextualSpacing/>
        <w:rPr>
          <w:rFonts w:ascii="Times New Roman" w:hAnsi="Times New Roman" w:eastAsia="仿宋_GB2312" w:cs="Times New Roman"/>
          <w:sz w:val="28"/>
          <w:szCs w:val="28"/>
        </w:rPr>
      </w:pPr>
      <w:r>
        <w:rPr>
          <w:rFonts w:ascii="Times New Roman" w:hAnsi="Times New Roman" w:eastAsia="仿宋_GB2312" w:cs="Times New Roman"/>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14605</wp:posOffset>
                </wp:positionV>
                <wp:extent cx="5615940" cy="0"/>
                <wp:effectExtent l="8255" t="6985" r="5080" b="12065"/>
                <wp:wrapNone/>
                <wp:docPr id="6" name="直接连接符 6"/>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0pt;margin-top:1.15pt;height:0pt;width:442.2pt;z-index:251659264;mso-width-relative:page;mso-height-relative:page;" filled="f" stroked="t" coordsize="21600,21600" o:gfxdata="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C9xLTDSAAAABAEAAA8A&#10;AAAAAAAAAQAgAAAAIgAAAGRycy9kb3ducmV2LnhtbFBLAQIUABQAAAAIAIdO4kCDEegD5AEAAKoD&#10;AAAOAAAAAAAAAAEAIAAAACEBAABkcnMvZTJvRG9jLnhtbFBLBQYAAAAABgAGAFkBAAB3BQAAAAA=&#10;">
                <v:fill on="f" focussize="0,0"/>
                <v:stroke color="#000000" joinstyle="round"/>
                <v:imagedata o:title=""/>
                <o:lock v:ext="edit" aspectratio="f"/>
              </v:line>
            </w:pict>
          </mc:Fallback>
        </mc:AlternateContent>
      </w:r>
      <w:r>
        <w:rPr>
          <w:rFonts w:ascii="Times New Roman" w:hAnsi="Times New Roman" w:eastAsia="仿宋_GB2312" w:cs="Times New Roman"/>
          <w:sz w:val="28"/>
          <w:szCs w:val="28"/>
        </w:rPr>
        <w:t>抄送：县委各部门，人大办，政协办，人武部，法院，检察院。</w:t>
      </w:r>
    </w:p>
    <w:p w14:paraId="48704B36">
      <w:pPr>
        <w:spacing w:line="400" w:lineRule="exact"/>
        <w:ind w:firstLine="991" w:firstLineChars="354"/>
        <w:contextualSpacing/>
        <w:rPr>
          <w:rFonts w:ascii="Times New Roman" w:hAnsi="Times New Roman" w:eastAsia="仿宋_GB2312" w:cs="Times New Roman"/>
          <w:sz w:val="28"/>
          <w:szCs w:val="28"/>
        </w:rPr>
      </w:pPr>
      <w:r>
        <w:rPr>
          <w:rFonts w:ascii="Times New Roman" w:hAnsi="Times New Roman" w:eastAsia="仿宋_GB2312" w:cs="Times New Roman"/>
          <w:sz w:val="28"/>
          <w:szCs w:val="28"/>
        </w:rPr>
        <w:t>区（市）驻同各单位，各人民团体。</w:t>
      </w:r>
    </w:p>
    <w:p w14:paraId="4026367A">
      <w:pPr>
        <w:spacing w:line="400" w:lineRule="exact"/>
        <w:ind w:right="252" w:rightChars="120" w:firstLine="280" w:firstLineChars="100"/>
        <w:contextualSpacing/>
        <w:rPr>
          <w:rFonts w:ascii="Times New Roman" w:hAnsi="Times New Roman" w:eastAsia="仿宋_GB2312" w:cs="Times New Roman"/>
          <w:sz w:val="28"/>
          <w:szCs w:val="28"/>
        </w:rPr>
      </w:pPr>
      <w:r>
        <w:rPr>
          <w:rFonts w:ascii="Times New Roman" w:hAnsi="Times New Roman" w:eastAsia="仿宋_GB2312" w:cs="Times New Roman"/>
          <w:sz w:val="28"/>
          <w:szCs w:val="28"/>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0</wp:posOffset>
                </wp:positionV>
                <wp:extent cx="5615940" cy="0"/>
                <wp:effectExtent l="8255" t="5080" r="5080" b="13970"/>
                <wp:wrapNone/>
                <wp:docPr id="5" name="直接连接符 5"/>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0pt;margin-top:0pt;height:0pt;width:442.2pt;z-index:251661312;mso-width-relative:page;mso-height-relative:page;" filled="f" stroked="t" coordsize="21600,21600" o:gfxdata="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JhwzWbSAAAAAgEAAA8A&#10;AAAAAAAAAQAgAAAAIgAAAGRycy9kb3ducmV2LnhtbFBLAQIUABQAAAAIAIdO4kBXmuun5AEAAKoD&#10;AAAOAAAAAAAAAAEAIAAAACEBAABkcnMvZTJvRG9jLnhtbFBLBQYAAAAABgAGAFkBAAB3BQAAAAA=&#10;">
                <v:fill on="f" focussize="0,0"/>
                <v:stroke color="#000000" joinstyle="round"/>
                <v:imagedata o:title=""/>
                <o:lock v:ext="edit" aspectratio="f"/>
              </v:line>
            </w:pict>
          </mc:Fallback>
        </mc:AlternateContent>
      </w:r>
      <w:r>
        <w:rPr>
          <w:rFonts w:ascii="Times New Roman" w:hAnsi="Times New Roman" w:eastAsia="仿宋_GB2312" w:cs="Times New Roman"/>
          <w:sz w:val="28"/>
          <w:szCs w:val="28"/>
        </w:rPr>
        <w:t>同心县人民政府办公室                     2024年9月</w:t>
      </w:r>
      <w:r>
        <w:rPr>
          <w:rFonts w:hint="eastAsia" w:ascii="Times New Roman" w:hAnsi="Times New Roman" w:eastAsia="仿宋_GB2312" w:cs="Times New Roman"/>
          <w:sz w:val="28"/>
          <w:szCs w:val="28"/>
        </w:rPr>
        <w:t>24</w:t>
      </w:r>
      <w:r>
        <w:rPr>
          <w:rFonts w:ascii="Times New Roman" w:hAnsi="Times New Roman" w:eastAsia="仿宋_GB2312" w:cs="Times New Roman"/>
          <w:sz w:val="28"/>
          <w:szCs w:val="28"/>
        </w:rPr>
        <w:t>日发</w:t>
      </w:r>
    </w:p>
    <w:p w14:paraId="2BE566E7">
      <w:pPr>
        <w:spacing w:line="400" w:lineRule="exact"/>
        <w:ind w:right="252" w:rightChars="120" w:firstLine="5810" w:firstLineChars="2075"/>
        <w:contextualSpacing/>
        <w:rPr>
          <w:rFonts w:ascii="Times New Roman" w:hAnsi="Times New Roman" w:eastAsia="仿宋_GB2312" w:cs="Times New Roman"/>
          <w:sz w:val="32"/>
          <w:szCs w:val="32"/>
        </w:rPr>
      </w:pPr>
      <w:r>
        <w:rPr>
          <w:rFonts w:ascii="Times New Roman" w:hAnsi="Times New Roman" w:eastAsia="仿宋_GB2312" w:cs="Times New Roman"/>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615940" cy="0"/>
                <wp:effectExtent l="8255" t="11430" r="5080" b="7620"/>
                <wp:wrapNone/>
                <wp:docPr id="4" name="直接连接符 4"/>
                <wp:cNvGraphicFramePr/>
                <a:graphic xmlns:a="http://schemas.openxmlformats.org/drawingml/2006/main">
                  <a:graphicData uri="http://schemas.microsoft.com/office/word/2010/wordprocessingShape">
                    <wps:wsp>
                      <wps:cNvCnPr>
                        <a:cxnSpLocks noChangeShapeType="1"/>
                      </wps:cNvCnPr>
                      <wps:spPr bwMode="auto">
                        <a:xfrm>
                          <a:off x="0" y="0"/>
                          <a:ext cx="5615940" cy="0"/>
                        </a:xfrm>
                        <a:prstGeom prst="line">
                          <a:avLst/>
                        </a:prstGeom>
                        <a:noFill/>
                        <a:ln w="9525">
                          <a:solidFill>
                            <a:srgbClr val="000000"/>
                          </a:solidFill>
                          <a:round/>
                        </a:ln>
                      </wps:spPr>
                      <wps:bodyPr/>
                    </wps:wsp>
                  </a:graphicData>
                </a:graphic>
              </wp:anchor>
            </w:drawing>
          </mc:Choice>
          <mc:Fallback>
            <w:pict>
              <v:line id="_x0000_s1026" o:spid="_x0000_s1026" o:spt="20" style="position:absolute;left:0pt;margin-left:0pt;margin-top:0pt;height:0pt;width:442.2pt;z-index:251660288;mso-width-relative:page;mso-height-relative:page;" filled="f" stroked="t" coordsize="21600,21600" o:gfxdata="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JhwzWbSAAAAAgEAAA8A&#10;AAAAAAAAAQAgAAAAIgAAAGRycy9kb3ducmV2LnhtbFBLAQIUABQAAAAIAIdO4kAk4cVy5AEAAKoD&#10;AAAOAAAAAAAAAAEAIAAAACEBAABkcnMvZTJvRG9jLnhtbFBLBQYAAAAABgAGAFkBAAB3BQAAAAA=&#10;">
                <v:fill on="f" focussize="0,0"/>
                <v:stroke color="#000000" joinstyle="round"/>
                <v:imagedata o:title=""/>
                <o:lock v:ext="edit" aspectratio="f"/>
              </v:line>
            </w:pict>
          </mc:Fallback>
        </mc:AlternateContent>
      </w:r>
    </w:p>
    <w:sectPr>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89977734"/>
    </w:sdtPr>
    <w:sdtEndPr>
      <w:rPr>
        <w:rFonts w:ascii="宋体" w:hAnsi="宋体" w:eastAsia="宋体"/>
        <w:sz w:val="28"/>
        <w:szCs w:val="28"/>
      </w:rPr>
    </w:sdtEndPr>
    <w:sdtContent>
      <w:p w14:paraId="35BE1838">
        <w:pPr>
          <w:pStyle w:val="4"/>
          <w:jc w:val="right"/>
          <w:rPr>
            <w:rFonts w:ascii="宋体" w:hAnsi="宋体" w:eastAsia="宋体"/>
            <w:sz w:val="28"/>
            <w:szCs w:val="28"/>
          </w:rPr>
        </w:pPr>
        <w:r>
          <w:rPr>
            <w:rFonts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3</w:t>
        </w:r>
        <w:r>
          <w:rPr>
            <w:rFonts w:ascii="宋体" w:hAnsi="宋体" w:eastAsia="宋体"/>
            <w:sz w:val="28"/>
            <w:szCs w:val="28"/>
          </w:rPr>
          <w:fldChar w:fldCharType="end"/>
        </w:r>
        <w:r>
          <w:rPr>
            <w:rFonts w:ascii="宋体" w:hAnsi="宋体" w:eastAsia="宋体"/>
            <w:sz w:val="28"/>
            <w:szCs w:val="28"/>
          </w:rPr>
          <w:t xml:space="preserve"> —</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726348904"/>
    </w:sdtPr>
    <w:sdtEndPr>
      <w:rPr>
        <w:rFonts w:ascii="宋体" w:hAnsi="宋体" w:eastAsia="宋体"/>
        <w:sz w:val="28"/>
        <w:szCs w:val="28"/>
      </w:rPr>
    </w:sdtEndPr>
    <w:sdtContent>
      <w:p w14:paraId="61E40688">
        <w:pPr>
          <w:pStyle w:val="4"/>
          <w:rPr>
            <w:rFonts w:ascii="宋体" w:hAnsi="宋体" w:eastAsia="宋体"/>
            <w:sz w:val="28"/>
            <w:szCs w:val="28"/>
          </w:rPr>
        </w:pPr>
        <w:r>
          <w:rPr>
            <w:rFonts w:ascii="宋体" w:hAnsi="宋体" w:eastAsia="宋体"/>
            <w:sz w:val="28"/>
            <w:szCs w:val="28"/>
          </w:rPr>
          <w:t xml:space="preserve">— </w:t>
        </w:r>
        <w:r>
          <w:rPr>
            <w:rFonts w:ascii="宋体" w:hAnsi="宋体" w:eastAsia="宋体"/>
            <w:sz w:val="28"/>
            <w:szCs w:val="28"/>
          </w:rPr>
          <w:fldChar w:fldCharType="begin"/>
        </w:r>
        <w:r>
          <w:rPr>
            <w:rFonts w:ascii="宋体" w:hAnsi="宋体" w:eastAsia="宋体"/>
            <w:sz w:val="28"/>
            <w:szCs w:val="28"/>
          </w:rPr>
          <w:instrText xml:space="preserve">PAGE   \* MERGEFORMAT</w:instrText>
        </w:r>
        <w:r>
          <w:rPr>
            <w:rFonts w:ascii="宋体" w:hAnsi="宋体" w:eastAsia="宋体"/>
            <w:sz w:val="28"/>
            <w:szCs w:val="28"/>
          </w:rPr>
          <w:fldChar w:fldCharType="separate"/>
        </w:r>
        <w:r>
          <w:rPr>
            <w:rFonts w:ascii="宋体" w:hAnsi="宋体" w:eastAsia="宋体"/>
            <w:sz w:val="28"/>
            <w:szCs w:val="28"/>
            <w:lang w:val="zh-CN"/>
          </w:rPr>
          <w:t>2</w:t>
        </w:r>
        <w:r>
          <w:rPr>
            <w:rFonts w:ascii="宋体" w:hAnsi="宋体" w:eastAsia="宋体"/>
            <w:sz w:val="28"/>
            <w:szCs w:val="28"/>
          </w:rPr>
          <w:fldChar w:fldCharType="end"/>
        </w:r>
        <w:r>
          <w:rPr>
            <w:rFonts w:ascii="宋体" w:hAnsi="宋体" w:eastAsia="宋体"/>
            <w:sz w:val="28"/>
            <w:szCs w:val="28"/>
          </w:rPr>
          <w:t xml:space="preserve"> —</w:t>
        </w:r>
      </w:p>
    </w:sdtContent>
  </w:sdt>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hkZDhhNjcxY2JiMTMwYzQ0ZDkwYmZkOGQwOTVhNWYifQ=="/>
  </w:docVars>
  <w:rsids>
    <w:rsidRoot w:val="000A5BF4"/>
    <w:rsid w:val="00012467"/>
    <w:rsid w:val="0001362E"/>
    <w:rsid w:val="00032CF3"/>
    <w:rsid w:val="00034CDC"/>
    <w:rsid w:val="00043C6F"/>
    <w:rsid w:val="00053534"/>
    <w:rsid w:val="000A5BF4"/>
    <w:rsid w:val="000B39AE"/>
    <w:rsid w:val="000E09C6"/>
    <w:rsid w:val="00105CFB"/>
    <w:rsid w:val="00110773"/>
    <w:rsid w:val="00170F7E"/>
    <w:rsid w:val="00177E5A"/>
    <w:rsid w:val="00182555"/>
    <w:rsid w:val="00196428"/>
    <w:rsid w:val="001E7834"/>
    <w:rsid w:val="00223635"/>
    <w:rsid w:val="00223FAC"/>
    <w:rsid w:val="002261C0"/>
    <w:rsid w:val="00237877"/>
    <w:rsid w:val="00241175"/>
    <w:rsid w:val="00242D16"/>
    <w:rsid w:val="00256B2B"/>
    <w:rsid w:val="00257F60"/>
    <w:rsid w:val="00277ADE"/>
    <w:rsid w:val="00282724"/>
    <w:rsid w:val="002A1770"/>
    <w:rsid w:val="002B20B4"/>
    <w:rsid w:val="003245E2"/>
    <w:rsid w:val="003250B5"/>
    <w:rsid w:val="00337B1B"/>
    <w:rsid w:val="00347EF8"/>
    <w:rsid w:val="0035795A"/>
    <w:rsid w:val="003711CF"/>
    <w:rsid w:val="004345E6"/>
    <w:rsid w:val="00436565"/>
    <w:rsid w:val="00457795"/>
    <w:rsid w:val="004645EB"/>
    <w:rsid w:val="00476764"/>
    <w:rsid w:val="004858BE"/>
    <w:rsid w:val="00490242"/>
    <w:rsid w:val="00497F78"/>
    <w:rsid w:val="004D6ED5"/>
    <w:rsid w:val="00501685"/>
    <w:rsid w:val="005027A6"/>
    <w:rsid w:val="00505305"/>
    <w:rsid w:val="00551986"/>
    <w:rsid w:val="00555212"/>
    <w:rsid w:val="005764B8"/>
    <w:rsid w:val="00587761"/>
    <w:rsid w:val="005A100F"/>
    <w:rsid w:val="005B04DA"/>
    <w:rsid w:val="005B5B89"/>
    <w:rsid w:val="00606DFA"/>
    <w:rsid w:val="00636DF8"/>
    <w:rsid w:val="00643B22"/>
    <w:rsid w:val="006600C3"/>
    <w:rsid w:val="006858E1"/>
    <w:rsid w:val="006953B6"/>
    <w:rsid w:val="006C1410"/>
    <w:rsid w:val="006C596F"/>
    <w:rsid w:val="006C7AE6"/>
    <w:rsid w:val="006D5DD7"/>
    <w:rsid w:val="006E2D22"/>
    <w:rsid w:val="006F7971"/>
    <w:rsid w:val="00710D4A"/>
    <w:rsid w:val="00773C04"/>
    <w:rsid w:val="00782398"/>
    <w:rsid w:val="007A4B9A"/>
    <w:rsid w:val="007E3A51"/>
    <w:rsid w:val="00803B1A"/>
    <w:rsid w:val="00804F1F"/>
    <w:rsid w:val="00812FD2"/>
    <w:rsid w:val="0084393C"/>
    <w:rsid w:val="0086055A"/>
    <w:rsid w:val="00866A92"/>
    <w:rsid w:val="0086781A"/>
    <w:rsid w:val="00873192"/>
    <w:rsid w:val="008901F7"/>
    <w:rsid w:val="00891386"/>
    <w:rsid w:val="00892B04"/>
    <w:rsid w:val="008A0624"/>
    <w:rsid w:val="008A46FF"/>
    <w:rsid w:val="008C558C"/>
    <w:rsid w:val="008D153A"/>
    <w:rsid w:val="008E2E74"/>
    <w:rsid w:val="008F0652"/>
    <w:rsid w:val="008F6821"/>
    <w:rsid w:val="00932029"/>
    <w:rsid w:val="0096110B"/>
    <w:rsid w:val="009E17E6"/>
    <w:rsid w:val="009F52C4"/>
    <w:rsid w:val="00A15A4D"/>
    <w:rsid w:val="00A27CD3"/>
    <w:rsid w:val="00A31A0B"/>
    <w:rsid w:val="00A31C58"/>
    <w:rsid w:val="00A37CEF"/>
    <w:rsid w:val="00A74423"/>
    <w:rsid w:val="00A9742C"/>
    <w:rsid w:val="00AD5EE3"/>
    <w:rsid w:val="00AF2C55"/>
    <w:rsid w:val="00B02CDB"/>
    <w:rsid w:val="00B11C5D"/>
    <w:rsid w:val="00B1272A"/>
    <w:rsid w:val="00B3168A"/>
    <w:rsid w:val="00B32A7E"/>
    <w:rsid w:val="00B45489"/>
    <w:rsid w:val="00B54359"/>
    <w:rsid w:val="00B70CD3"/>
    <w:rsid w:val="00B72123"/>
    <w:rsid w:val="00B868DC"/>
    <w:rsid w:val="00BB132E"/>
    <w:rsid w:val="00BB1F02"/>
    <w:rsid w:val="00BC6355"/>
    <w:rsid w:val="00BE7D16"/>
    <w:rsid w:val="00BF3D45"/>
    <w:rsid w:val="00BF78A4"/>
    <w:rsid w:val="00C47B47"/>
    <w:rsid w:val="00C52F58"/>
    <w:rsid w:val="00C53AEA"/>
    <w:rsid w:val="00C70321"/>
    <w:rsid w:val="00C7104E"/>
    <w:rsid w:val="00C93117"/>
    <w:rsid w:val="00C93150"/>
    <w:rsid w:val="00CA56FE"/>
    <w:rsid w:val="00CC079C"/>
    <w:rsid w:val="00CC3CF9"/>
    <w:rsid w:val="00CD52CF"/>
    <w:rsid w:val="00CE42B3"/>
    <w:rsid w:val="00CF4CCB"/>
    <w:rsid w:val="00D137D9"/>
    <w:rsid w:val="00D517AD"/>
    <w:rsid w:val="00D72F3A"/>
    <w:rsid w:val="00D9348E"/>
    <w:rsid w:val="00DB0544"/>
    <w:rsid w:val="00DB2BD1"/>
    <w:rsid w:val="00E12150"/>
    <w:rsid w:val="00E25CD9"/>
    <w:rsid w:val="00E62553"/>
    <w:rsid w:val="00E63013"/>
    <w:rsid w:val="00E76D07"/>
    <w:rsid w:val="00E76D50"/>
    <w:rsid w:val="00E961F0"/>
    <w:rsid w:val="00EA1BDD"/>
    <w:rsid w:val="00EB3602"/>
    <w:rsid w:val="00EC0901"/>
    <w:rsid w:val="00EF4C99"/>
    <w:rsid w:val="00F160F9"/>
    <w:rsid w:val="00F46A78"/>
    <w:rsid w:val="00F72BED"/>
    <w:rsid w:val="00F73ADF"/>
    <w:rsid w:val="00F75DD9"/>
    <w:rsid w:val="00F82ACA"/>
    <w:rsid w:val="00FC3445"/>
    <w:rsid w:val="218F60CE"/>
    <w:rsid w:val="21C73F21"/>
    <w:rsid w:val="29926C41"/>
    <w:rsid w:val="2A21424A"/>
    <w:rsid w:val="2A79618C"/>
    <w:rsid w:val="354C1188"/>
    <w:rsid w:val="45620B09"/>
    <w:rsid w:val="56B9697C"/>
    <w:rsid w:val="58E21D3E"/>
    <w:rsid w:val="5A326DD8"/>
    <w:rsid w:val="60541988"/>
    <w:rsid w:val="673E1CC7"/>
    <w:rsid w:val="67760BE7"/>
    <w:rsid w:val="6AC45DB3"/>
    <w:rsid w:val="6AE73DC9"/>
    <w:rsid w:val="6EEDAA12"/>
    <w:rsid w:val="72965808"/>
    <w:rsid w:val="733B32FE"/>
    <w:rsid w:val="7D556C24"/>
    <w:rsid w:val="7FB274F5"/>
    <w:rsid w:val="7FF1F53F"/>
    <w:rsid w:val="7FFF875F"/>
    <w:rsid w:val="B3CF922F"/>
    <w:rsid w:val="BEFB3946"/>
    <w:rsid w:val="EFF7EA1E"/>
    <w:rsid w:val="F72FB7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Date"/>
    <w:basedOn w:val="1"/>
    <w:next w:val="1"/>
    <w:link w:val="10"/>
    <w:semiHidden/>
    <w:unhideWhenUsed/>
    <w:qFormat/>
    <w:uiPriority w:val="99"/>
    <w:pPr>
      <w:ind w:left="100" w:leftChars="2500"/>
    </w:pPr>
  </w:style>
  <w:style w:type="paragraph" w:styleId="3">
    <w:name w:val="Balloon Text"/>
    <w:basedOn w:val="1"/>
    <w:link w:val="11"/>
    <w:semiHidden/>
    <w:unhideWhenUsed/>
    <w:qFormat/>
    <w:uiPriority w:val="99"/>
    <w:rPr>
      <w:sz w:val="18"/>
      <w:szCs w:val="18"/>
    </w:rPr>
  </w:style>
  <w:style w:type="paragraph" w:styleId="4">
    <w:name w:val="footer"/>
    <w:basedOn w:val="1"/>
    <w:link w:val="9"/>
    <w:unhideWhenUsed/>
    <w:qFormat/>
    <w:uiPriority w:val="99"/>
    <w:pPr>
      <w:tabs>
        <w:tab w:val="center" w:pos="4153"/>
        <w:tab w:val="right" w:pos="8306"/>
      </w:tabs>
      <w:snapToGrid w:val="0"/>
      <w:jc w:val="left"/>
    </w:pPr>
    <w:rPr>
      <w:sz w:val="18"/>
      <w:szCs w:val="18"/>
    </w:rPr>
  </w:style>
  <w:style w:type="paragraph" w:styleId="5">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8">
    <w:name w:val="页眉 字符"/>
    <w:basedOn w:val="7"/>
    <w:link w:val="5"/>
    <w:qFormat/>
    <w:uiPriority w:val="99"/>
    <w:rPr>
      <w:sz w:val="18"/>
      <w:szCs w:val="18"/>
    </w:rPr>
  </w:style>
  <w:style w:type="character" w:customStyle="1" w:styleId="9">
    <w:name w:val="页脚 字符"/>
    <w:basedOn w:val="7"/>
    <w:link w:val="4"/>
    <w:qFormat/>
    <w:uiPriority w:val="99"/>
    <w:rPr>
      <w:sz w:val="18"/>
      <w:szCs w:val="18"/>
    </w:rPr>
  </w:style>
  <w:style w:type="character" w:customStyle="1" w:styleId="10">
    <w:name w:val="日期 字符"/>
    <w:basedOn w:val="7"/>
    <w:link w:val="2"/>
    <w:semiHidden/>
    <w:qFormat/>
    <w:uiPriority w:val="99"/>
    <w:rPr>
      <w:kern w:val="2"/>
      <w:sz w:val="21"/>
      <w:szCs w:val="22"/>
    </w:rPr>
  </w:style>
  <w:style w:type="character" w:customStyle="1" w:styleId="11">
    <w:name w:val="批注框文本 字符"/>
    <w:basedOn w:val="7"/>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Micsoft</Company>
  <Pages>7</Pages>
  <Words>1845</Words>
  <Characters>1940</Characters>
  <Lines>15</Lines>
  <Paragraphs>4</Paragraphs>
  <TotalTime>140</TotalTime>
  <ScaleCrop>false</ScaleCrop>
  <LinksUpToDate>false</LinksUpToDate>
  <CharactersWithSpaces>1964</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2019-04-20T13:09:00Z</dcterms:created>
  <dc:creator>Administrator</dc:creator>
  <cp:lastModifiedBy>嘉树</cp:lastModifiedBy>
  <cp:lastPrinted>2024-09-27T01:46:39Z</cp:lastPrinted>
  <dcterms:modified xsi:type="dcterms:W3CDTF">2024-09-27T01:53:58Z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2F98E8F8C1774AB6BAA9EC09DBF3A4E7_13</vt:lpwstr>
  </property>
</Properties>
</file>