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520" w:lineRule="exact"/>
        <w:ind w:left="0" w:leftChars="0" w:right="315" w:rightChars="150"/>
        <w:jc w:val="both"/>
        <w:textAlignment w:val="auto"/>
        <w:rPr>
          <w:rFonts w:hint="eastAsia" w:ascii="黑体" w:hAnsi="黑体" w:eastAsia="黑体" w:cs="黑体"/>
          <w:b w:val="0"/>
          <w:bCs w:val="0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>1</w:t>
      </w:r>
      <w:r>
        <w:rPr>
          <w:rFonts w:hint="eastAsia" w:ascii="黑体" w:hAnsi="黑体" w:eastAsia="黑体" w:cs="黑体"/>
          <w:b w:val="0"/>
          <w:bCs w:val="0"/>
          <w:sz w:val="28"/>
          <w:szCs w:val="28"/>
          <w:lang w:eastAsia="zh-CN"/>
        </w:rPr>
        <w:t>：</w:t>
      </w:r>
    </w:p>
    <w:p>
      <w:pPr>
        <w:pStyle w:val="2"/>
        <w:rPr>
          <w:rFonts w:hint="default"/>
          <w:lang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4163"/>
        </w:tabs>
        <w:kinsoku/>
        <w:wordWrap w:val="0"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44"/>
          <w:szCs w:val="44"/>
          <w:lang w:val="en-US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  <w:lang w:val="en-US"/>
        </w:rPr>
        <w:t>同心县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关于支持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/>
        </w:rPr>
        <w:t>种植业高质量发展</w:t>
      </w:r>
    </w:p>
    <w:p>
      <w:pPr>
        <w:keepNext w:val="0"/>
        <w:keepLines w:val="0"/>
        <w:pageBreakBefore w:val="0"/>
        <w:widowControl w:val="0"/>
        <w:tabs>
          <w:tab w:val="left" w:pos="4163"/>
        </w:tabs>
        <w:kinsoku/>
        <w:wordWrap w:val="0"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政策措施</w:t>
      </w:r>
    </w:p>
    <w:p>
      <w:pPr>
        <w:keepNext w:val="0"/>
        <w:keepLines w:val="0"/>
        <w:pageBreakBefore w:val="0"/>
        <w:widowControl w:val="0"/>
        <w:tabs>
          <w:tab w:val="left" w:pos="4163"/>
        </w:tabs>
        <w:kinsoku/>
        <w:wordWrap w:val="0"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outlineLvl w:val="9"/>
        <w:rPr>
          <w:rFonts w:hint="default" w:ascii="Times New Roman" w:hAnsi="Times New Roman" w:eastAsia="楷体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eastAsia="zh-CN"/>
        </w:rPr>
        <w:t>（征求意见稿）</w:t>
      </w:r>
      <w:bookmarkEnd w:id="0"/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520" w:lineRule="exact"/>
        <w:ind w:left="0" w:leftChars="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</w:rPr>
      </w:pPr>
    </w:p>
    <w:p>
      <w:pPr>
        <w:pStyle w:val="2"/>
        <w:keepNext w:val="0"/>
        <w:keepLines w:val="0"/>
        <w:pageBreakBefore w:val="0"/>
        <w:wordWrap/>
        <w:overflowPunct/>
        <w:topLinePunct w:val="0"/>
        <w:bidi w:val="0"/>
        <w:spacing w:line="560" w:lineRule="exact"/>
        <w:ind w:left="0" w:leftChars="0" w:right="0" w:rightChars="0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为深入贯彻落实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中央、区市关于推进乡村全面振兴的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战略部署，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加快补齐粮食和重要农产品保障供给短板，促进农业增效益、农民增收入，推动种植业持续高质量发展，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制定本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措施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黑体" w:cs="Times New Roman"/>
          <w:color w:val="00000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u w:val="none"/>
          <w:lang w:val="en-US" w:eastAsia="zh-CN"/>
        </w:rPr>
        <w:t>一、目标任务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u w:val="none"/>
          <w:lang w:val="en-US" w:eastAsia="zh-CN"/>
        </w:rPr>
        <w:t>2025年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全县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粮食播种面积稳定在123.5万亩以上，总产量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突破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33.7万吨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；多方位推动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特色产业提质扩能，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种植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冷凉蔬菜11万亩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（其中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红葱5万亩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、中药材4.01万亩、油料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作物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4.5万亩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；进一步促进绿色发展与节水增效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实现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高效节水种植56.84万亩，有机肥应用面积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达到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56万亩，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实现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化肥农药使用量零增长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病虫害损失率控制在5%以内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；力促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品牌建设实现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突破，打造“同心冷凉蔬菜”“同心红葱”“同心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银柴胡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”等区域公用品牌，新增“三品一标”认证20个以上，推动种植业向规模化、标准化、品牌化、绿色化转型。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u w:val="none"/>
          <w:lang w:val="en-US" w:eastAsia="zh-CN"/>
        </w:rPr>
        <w:t>二、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highlight w:val="none"/>
          <w:lang w:val="en-US" w:eastAsia="zh-CN"/>
        </w:rPr>
        <w:t>支持</w:t>
      </w: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highlight w:val="none"/>
          <w:lang w:val="en-US" w:eastAsia="zh-CN"/>
        </w:rPr>
        <w:t>政策及措施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（一）支持发展粮食产业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" w:eastAsia="zh-CN"/>
        </w:rPr>
        <w:t>1.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" w:eastAsia="zh-CN"/>
        </w:rPr>
        <w:t>切实落实中央、区市扎实推进新一轮千亿斤粮食产能提升行动的各项措施，稳定玉米、小麦、杂粮等农作物生产，促进结构优化和品质提升。全年种植玉米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56.9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万亩、小麦17.5万亩、杂粮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43.1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万亩。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水浇地春小麦种植2.2万亩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，每亩补贴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100元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；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遴选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种植规模超过800亩的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小杂粮标准化核心示范基地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2个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，每个补贴10万元；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遴选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种植规模达到1600亩的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小杂粮标准化核心示范基地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个，每个补贴20万元。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自治区财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政资金80万元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县级财政配套资金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220万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元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，共计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300万元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2.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深入实施粮油等主要作物大面积单产提升行动，鼓励支持经营主体、种植户进行玉米大豆复合种植，全年大豆玉米复合种植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1万亩，单重大豆0.4万亩。补贴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/>
        </w:rPr>
        <w:t>大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豆玉米带状复合种植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1万亩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，每亩补贴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300元（其中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：中央财政补贴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150元/亩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、自治区财政补贴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50元/亩，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县级财政补贴10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0元/亩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）。（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中央财政补贴资金150万元，自治区财政资金50万元，县级财政配套资金100万元，共计300万元）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3.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全面加强耕地保护和建设，加快高标准农田建设，全方位提升耕地标准和质量。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按照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2025年自治区规定的补贴标准，依据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耕地面积普惠发放耕地地力保护补贴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；全年新建高标准农田7.28万亩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国债资金16461万元，地方财政资金1674万元，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中央财政支农项目资金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6490万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元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，共计24625万元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.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加快推进农业绿色转型发展，加强农残膜回收利用。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补贴地膜科学使用回收重点支持推广加厚高强度地膜应用15万亩，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每亩补贴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30元；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补贴覆膜保墒增粮技术示范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1万亩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每亩补贴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中央财政资金450万元，自治区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财政资金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45万，共计495万元）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.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加快农业科技创新应用，全面加强农作物重大病虫害防治水平提升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小麦“一喷三防”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应用3.5万亩，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每亩补贴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20元；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" w:eastAsia="zh-CN"/>
        </w:rPr>
        <w:t>补贴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/>
        </w:rPr>
        <w:t>病虫害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" w:eastAsia="zh-CN"/>
        </w:rPr>
        <w:t>专业化统防统治与绿色防控示范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8万元。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中央财政资金70万元，自治区财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政资金8万元，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共计78万元）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（二）支持发展冷凉蔬菜产业。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实施设施农业现代化提升行动，全年新建标准规范、设备先进、产出高效的现代设施农业大棚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1079座，严格落实“菜篮子”市长负责制六项要求，因地制宜发展辣椒、番茄、韭菜等冷凉蔬菜，种植面积达到1万亩。建设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蔬菜绿色标准园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1个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" w:eastAsia="zh-CN"/>
        </w:rPr>
        <w:t>每个补贴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0万元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补贴冷凉蔬菜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蚯蚓粪替代化肥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应用600亩，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/>
        </w:rPr>
        <w:t>亩补贴500元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自治区财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政资金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（三）支持发展特色产业。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鼓励“一乡一品”“一村一业”，做精做优特色种植业，结合资源禀赋和生产现状，鼓励发展红葱、中药材等产业。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红葱产业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（1）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在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下马关镇三山井村和预旺镇沙土坡子村选址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新建500亩“同心红葱”育苗基地2个，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每亩补贴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1000元。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衔接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资金100万元）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（2）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补贴新种植5亩以上规模红葱1万亩，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每亩补贴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50元，户均最高补贴10亩。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县级财政配套资金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50万元）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（3）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对在全县范围内收购“同心红葱”(旱地红葱)达到5吨以上的企业或销售代理商进行补贴，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每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千克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补贴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0.1元，共补贴3000吨。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县级财政配套资金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30万元）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（4）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安排配套衔接资金5万元，由县农业农村局申报注册同心红葱地理标志证明商标。鼓励指导企业、红葱种植合作社、村集体积极参与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品牌建设，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对于成功申报红葱绿色食品认证的，按照“首个产品补助3万元，每增加1个补助1万元”的标准一次性发放奖励；对于绿色食品续展获证的，每个补助1万元；对于获得有机认证并在有效期内的，首个产品补助3万元，每增加1个补助1万元;对于获得有机转换认证并在有效期内的,每个补助1万元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对于获得中国驰名商标的，每个补助10万元；获得宁夏著名商标的，每个补助5万元，(同一商标获得中国驰名商标、宁夏著名商标的，按最高标准一次性补助10万元）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对于获得特质农品认证的，每个补助1万元;对于首次获得GAP良好农业规范体系认证的，每项补助2万元。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衔接资金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5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）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对5亩规模以上红葱进行承保，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按保费的80%进行补贴，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最高补贴3500亩。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县级财政配套资金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3" w:firstLineChars="200"/>
        <w:textAlignment w:val="auto"/>
        <w:outlineLvl w:val="9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2.中药材产业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（1）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建设中药材标准化生产示范基地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2个，每个补贴20万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元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推广中药材蚯蚓粪替代化肥减量技术800亩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，每亩补贴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500元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自治区中药材产业项目资金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8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0万元）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yellow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（2）在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预旺镇发展庭院中药材种植2000亩，每亩补贴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200元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，共补贴1500户；在预旺镇南关村打造1000亩规范化种植示范基地1个、100亩中药材试验示范基地1个、购买中药材切片加工设备1套、中药材烘干设备2套，发展壮大村集体经济资本金366万元。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资金来源：</w:t>
      </w:r>
      <w:r>
        <w:rPr>
          <w:rFonts w:hint="eastAsia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衔接资金406万元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）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三、保障措施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rightChars="0" w:firstLine="643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（一）加强技术服务。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农业农村局要做好项目技术服务指导，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确保各项支持政策有序推进，各项补贴资金发放到位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rightChars="0" w:firstLine="643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（二）加强资金监管。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农业农村局、财政局定期开展项目绩效评价，严格规范资金管理，严肃财经纪律，专款专用，严禁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挤占挪用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弄虚作假、虚报瞒报等现象发生。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right="0" w:rightChars="0" w:firstLine="643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（三）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lang w:eastAsia="zh-CN"/>
        </w:rPr>
        <w:t>加强</w:t>
      </w:r>
      <w:r>
        <w:rPr>
          <w:rFonts w:hint="default" w:ascii="Times New Roman" w:hAnsi="Times New Roman" w:eastAsia="楷体_GB2312" w:cs="Times New Roman"/>
          <w:b/>
          <w:sz w:val="32"/>
          <w:szCs w:val="32"/>
          <w:lang w:eastAsia="zh-CN"/>
        </w:rPr>
        <w:t>投资融资。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/>
        </w:rPr>
        <w:t>财政局、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保险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/>
        </w:rPr>
        <w:t>公司、银行等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iCs w:val="0"/>
          <w:color w:val="auto"/>
          <w:kern w:val="2"/>
          <w:sz w:val="32"/>
          <w:szCs w:val="32"/>
          <w:highlight w:val="none"/>
          <w:vertAlign w:val="baseline"/>
          <w:lang w:val="en-US" w:eastAsia="zh-CN" w:bidi="ar-SA"/>
        </w:rPr>
        <w:t>金融机构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负责落实好政策性农业保险保费补贴政策，推动建立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iCs w:val="0"/>
          <w:color w:val="auto"/>
          <w:kern w:val="2"/>
          <w:sz w:val="32"/>
          <w:szCs w:val="32"/>
          <w:highlight w:val="none"/>
          <w:vertAlign w:val="baseline"/>
          <w:lang w:val="en-US" w:eastAsia="zh-CN" w:bidi="ar-SA"/>
        </w:rPr>
        <w:t>农业成本险等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多层次农业保险体系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/>
        </w:rPr>
        <w:t>，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精准对接农业新型经营主体金融需求，为农业结构调整提供多元化金融服务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/>
        </w:rPr>
        <w:t>，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推进农业保险与信贷、担保、期货（权）等金融工具联动，通过农业保险的增信功能，缓解农户“贷款难”“贷款贵”问题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>
      <w:pPr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rPr>
          <w:b/>
          <w:bCs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FreeSerif">
    <w:altName w:val="Simplified Arabic"/>
    <w:panose1 w:val="02020603050405020304"/>
    <w:charset w:val="00"/>
    <w:family w:val="auto"/>
    <w:pitch w:val="default"/>
    <w:sig w:usb0="00000000" w:usb1="00000000" w:usb2="43501B29" w:usb3="04000043" w:csb0="600101FF" w:csb1="FFFF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implified Arabic">
    <w:panose1 w:val="02020603050405020304"/>
    <w:charset w:val="00"/>
    <w:family w:val="auto"/>
    <w:pitch w:val="default"/>
    <w:sig w:usb0="00002003" w:usb1="00000000" w:usb2="00000000" w:usb3="00000000" w:csb0="00000041" w:csb1="200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微软雅黑"/>
    <w:panose1 w:val="020106000300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imes-Roman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书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黑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宁夏公文字体七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宁夏公文字体三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宁夏公文字体四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平黑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康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新舒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美黑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美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书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隶二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二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">
    <w:panose1 w:val="02020500000000000000"/>
    <w:charset w:val="88"/>
    <w:family w:val="auto"/>
    <w:pitch w:val="default"/>
    <w:sig w:usb0="A00002FF" w:usb1="38CFFCFA" w:usb2="00000016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PMincho">
    <w:panose1 w:val="02020600040205080304"/>
    <w:charset w:val="80"/>
    <w:family w:val="auto"/>
    <w:pitch w:val="default"/>
    <w:sig w:usb0="E00002FF" w:usb1="6AC7FDFB" w:usb2="00000012" w:usb3="00000000" w:csb0="4002009F" w:csb1="DFD7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Bookman Old Style">
    <w:panose1 w:val="02050604050505020204"/>
    <w:charset w:val="00"/>
    <w:family w:val="auto"/>
    <w:pitch w:val="default"/>
    <w:sig w:usb0="00000287" w:usb1="00000000" w:usb2="00000000" w:usb3="00000000" w:csb0="2000009F" w:csb1="DFD70000"/>
  </w:font>
  <w:font w:name="BrowalliaUPC">
    <w:panose1 w:val="020B0604020202020204"/>
    <w:charset w:val="00"/>
    <w:family w:val="auto"/>
    <w:pitch w:val="default"/>
    <w:sig w:usb0="81000003" w:usb1="00000000" w:usb2="00000000" w:usb3="00000000" w:csb0="00010001" w:csb1="00000000"/>
  </w:font>
  <w:font w:name="DaunPenh">
    <w:panose1 w:val="01010101010101010101"/>
    <w:charset w:val="00"/>
    <w:family w:val="auto"/>
    <w:pitch w:val="default"/>
    <w:sig w:usb0="00000003" w:usb1="00000000" w:usb2="00010000" w:usb3="00000000" w:csb0="00000001" w:csb1="00000000"/>
  </w:font>
  <w:font w:name="DokChampa">
    <w:panose1 w:val="020B0604020202020204"/>
    <w:charset w:val="00"/>
    <w:family w:val="auto"/>
    <w:pitch w:val="default"/>
    <w:sig w:usb0="03000003" w:usb1="00000000" w:usb2="00000000" w:usb3="00000000" w:csb0="40010001" w:csb1="00000000"/>
  </w:font>
  <w:font w:name="Iskoola Pota">
    <w:panose1 w:val="020B0502040204020203"/>
    <w:charset w:val="00"/>
    <w:family w:val="auto"/>
    <w:pitch w:val="default"/>
    <w:sig w:usb0="00000003" w:usb1="00000000" w:usb2="00000200" w:usb3="00000000" w:csb0="20000001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Shonar Bangl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Simplified Arabic Fixed">
    <w:panose1 w:val="02070309020205020404"/>
    <w:charset w:val="00"/>
    <w:family w:val="auto"/>
    <w:pitch w:val="default"/>
    <w:sig w:usb0="00002003" w:usb1="00000000" w:usb2="00000000" w:usb3="00000000" w:csb0="00000041" w:csb1="2008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方正楷体_GB2312">
    <w:altName w:val="楷体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仿宋-GB2312">
    <w:altName w:val="方正仿宋_GBK"/>
    <w:panose1 w:val="02000500000000000000"/>
    <w:charset w:val="00"/>
    <w:family w:val="auto"/>
    <w:pitch w:val="default"/>
    <w:sig w:usb0="00000000" w:usb1="00000000" w:usb2="00000010" w:usb3="00000000" w:csb0="0004000F" w:csb1="00000000"/>
  </w:font>
  <w:font w:name="方正宋体S-超大字符集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汉仪中宋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ESI黑体-GB2312">
    <w:altName w:val="黑体"/>
    <w:panose1 w:val="00000000000000000000"/>
    <w:charset w:val="86"/>
    <w:family w:val="auto"/>
    <w:pitch w:val="default"/>
    <w:sig w:usb0="00000000" w:usb1="00000000" w:usb2="00000012" w:usb3="00000000" w:csb0="0004000F" w:csb1="00000000"/>
  </w:font>
  <w:font w:name="方正新报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粗黑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黑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黑 197">
    <w:altName w:val="黑体"/>
    <w:panose1 w:val="00020600040101010101"/>
    <w:charset w:val="86"/>
    <w:family w:val="auto"/>
    <w:pitch w:val="default"/>
    <w:sig w:usb0="00000000" w:usb1="00000000" w:usb2="00000016" w:usb3="00000000" w:csb0="0004009F" w:csb1="00000000"/>
  </w:font>
  <w:font w:name="Bahnschrift Condensed">
    <w:altName w:val="Vrinda"/>
    <w:panose1 w:val="020B0502040204020203"/>
    <w:charset w:val="00"/>
    <w:family w:val="auto"/>
    <w:pitch w:val="default"/>
    <w:sig w:usb0="00000000" w:usb1="00000000" w:usb2="00000000" w:usb3="00000000" w:csb0="2000019F" w:csb1="00000000"/>
  </w:font>
  <w:font w:name="Bahnschrift SemiBold SemiCondensed">
    <w:altName w:val="Vrinda"/>
    <w:panose1 w:val="020B0502040204020203"/>
    <w:charset w:val="00"/>
    <w:family w:val="auto"/>
    <w:pitch w:val="default"/>
    <w:sig w:usb0="00000000" w:usb1="00000000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000" w:usb3="00000404" w:csb0="00000093" w:csb1="00000000"/>
  </w:font>
  <w:font w:name="Leelawadee UI Semilight">
    <w:altName w:val="Leelawadee"/>
    <w:panose1 w:val="020B0402040204020203"/>
    <w:charset w:val="00"/>
    <w:family w:val="auto"/>
    <w:pitch w:val="default"/>
    <w:sig w:usb0="00000000" w:usb1="00000000" w:usb2="00010000" w:usb3="00000001" w:csb0="00010101" w:csb1="00000000"/>
  </w:font>
  <w:font w:name="Microsoft New Tai Lue">
    <w:panose1 w:val="020B0502040204020203"/>
    <w:charset w:val="00"/>
    <w:family w:val="auto"/>
    <w:pitch w:val="default"/>
    <w:sig w:usb0="00000003" w:usb1="00000000" w:usb2="80000000" w:usb3="00000000" w:csb0="00000001" w:csb1="00000000"/>
  </w:font>
  <w:font w:name="Sitka Text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Leelawadee">
    <w:panose1 w:val="020B0502040204020203"/>
    <w:charset w:val="00"/>
    <w:family w:val="auto"/>
    <w:pitch w:val="default"/>
    <w:sig w:usb0="810000AF" w:usb1="4000204B" w:usb2="00000000" w:usb3="00000000" w:csb0="2001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黑体">
    <w:panose1 w:val="02010609060101010101"/>
    <w:charset w:val="7A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D55A71"/>
    <w:rsid w:val="31D5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 w:firstLineChars="200"/>
    </w:pPr>
    <w:rPr>
      <w:rFonts w:ascii="Times New Roman" w:hAnsi="Times New Roman"/>
      <w:szCs w:val="24"/>
    </w:rPr>
  </w:style>
  <w:style w:type="character" w:customStyle="1" w:styleId="5">
    <w:name w:val="UserStyle_4"/>
    <w:qFormat/>
    <w:uiPriority w:val="0"/>
    <w:rPr>
      <w:rFonts w:ascii="等线" w:hAnsi="等线" w:eastAsia="等线" w:cs="等线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2025-04-22T01:33:00Z</dcterms:created>
  <dc:creator>Administrator</dc:creator>
  <cp:lastModifiedBy>Administrator</cp:lastModifiedBy>
  <dcterms:modified xsi:type="dcterms:W3CDTF">2025-04-22T01:34:50Z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