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eastAsia="zh-CN"/>
        </w:rPr>
        <w:t>同心</w:t>
      </w:r>
      <w:r>
        <w:rPr>
          <w:rFonts w:hint="default" w:ascii="Times New Roman" w:hAnsi="Times New Roman" w:eastAsia="方正小标宋简体" w:cs="Times New Roman"/>
          <w:sz w:val="44"/>
          <w:szCs w:val="44"/>
        </w:rPr>
        <w:t>县财政衔接推进乡村振兴补助资金</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sz w:val="44"/>
          <w:szCs w:val="44"/>
          <w:lang w:eastAsia="zh-CN"/>
        </w:rPr>
        <w:t>管理办法</w:t>
      </w:r>
      <w:bookmarkStart w:id="0" w:name="_GoBack"/>
      <w:bookmarkEnd w:id="0"/>
      <w:r>
        <w:rPr>
          <w:rFonts w:hint="default" w:ascii="Times New Roman" w:hAnsi="Times New Roman" w:eastAsia="方正小标宋简体" w:cs="Times New Roman"/>
          <w:sz w:val="44"/>
          <w:szCs w:val="44"/>
          <w:lang w:eastAsia="zh-CN"/>
        </w:rPr>
        <w:t>（暂行）</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征求意见稿</w:t>
      </w:r>
      <w:r>
        <w:rPr>
          <w:rFonts w:hint="eastAsia" w:ascii="楷体_GB2312" w:hAnsi="楷体_GB2312" w:eastAsia="楷体_GB2312" w:cs="楷体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楷体_GB2312" w:cs="Times New Roman"/>
          <w:b/>
          <w:bCs/>
          <w:sz w:val="32"/>
          <w:szCs w:val="40"/>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40"/>
        </w:rPr>
      </w:pPr>
      <w:r>
        <w:rPr>
          <w:rFonts w:hint="default" w:ascii="Times New Roman" w:hAnsi="Times New Roman" w:eastAsia="黑体" w:cs="Times New Roman"/>
          <w:b w:val="0"/>
          <w:bCs w:val="0"/>
          <w:sz w:val="32"/>
          <w:szCs w:val="40"/>
        </w:rPr>
        <w:t>第一章</w:t>
      </w:r>
      <w:r>
        <w:rPr>
          <w:rFonts w:hint="default" w:ascii="Times New Roman" w:hAnsi="Times New Roman" w:eastAsia="黑体" w:cs="Times New Roman"/>
          <w:b w:val="0"/>
          <w:bCs w:val="0"/>
          <w:sz w:val="32"/>
          <w:szCs w:val="40"/>
          <w:lang w:val="en-US" w:eastAsia="zh-CN"/>
        </w:rPr>
        <w:t xml:space="preserve"> </w:t>
      </w:r>
      <w:r>
        <w:rPr>
          <w:rFonts w:hint="default" w:ascii="Times New Roman" w:hAnsi="Times New Roman" w:eastAsia="黑体" w:cs="Times New Roman"/>
          <w:b w:val="0"/>
          <w:bCs w:val="0"/>
          <w:sz w:val="32"/>
          <w:szCs w:val="40"/>
        </w:rPr>
        <w:t>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第一条</w:t>
      </w:r>
      <w:r>
        <w:rPr>
          <w:rFonts w:hint="default" w:ascii="Times New Roman" w:hAnsi="Times New Roman" w:eastAsia="仿宋_GB2312" w:cs="Times New Roman"/>
          <w:b/>
          <w:bCs/>
          <w:sz w:val="32"/>
          <w:szCs w:val="40"/>
          <w:lang w:val="en-US" w:eastAsia="zh-CN"/>
        </w:rPr>
        <w:t xml:space="preserve"> </w:t>
      </w:r>
      <w:r>
        <w:rPr>
          <w:rFonts w:hint="default" w:ascii="Times New Roman" w:hAnsi="Times New Roman" w:eastAsia="仿宋_GB2312" w:cs="Times New Roman"/>
          <w:sz w:val="32"/>
          <w:szCs w:val="40"/>
        </w:rPr>
        <w:t>为贯彻落实《中共中央 国务院关于实现巩固拓展脱贫攻坚成果同乡村振兴有效衔接的意见》</w:t>
      </w:r>
      <w:r>
        <w:rPr>
          <w:rFonts w:hint="default" w:ascii="Times New Roman" w:hAnsi="Times New Roman" w:eastAsia="仿宋_GB2312" w:cs="Times New Roman"/>
          <w:sz w:val="32"/>
          <w:szCs w:val="40"/>
          <w:lang w:eastAsia="zh-CN"/>
        </w:rPr>
        <w:t>精神</w:t>
      </w:r>
      <w:r>
        <w:rPr>
          <w:rFonts w:hint="default" w:ascii="Times New Roman" w:hAnsi="Times New Roman" w:eastAsia="仿宋_GB2312" w:cs="Times New Roman"/>
          <w:sz w:val="32"/>
          <w:szCs w:val="40"/>
        </w:rPr>
        <w:t>以及</w:t>
      </w:r>
      <w:r>
        <w:rPr>
          <w:rFonts w:hint="default" w:ascii="Times New Roman" w:hAnsi="Times New Roman" w:eastAsia="仿宋_GB2312" w:cs="Times New Roman"/>
          <w:sz w:val="32"/>
          <w:szCs w:val="40"/>
          <w:lang w:eastAsia="zh-CN"/>
        </w:rPr>
        <w:t>区市党委、</w:t>
      </w:r>
      <w:r>
        <w:rPr>
          <w:rFonts w:hint="default" w:ascii="Times New Roman" w:hAnsi="Times New Roman" w:eastAsia="仿宋_GB2312" w:cs="Times New Roman"/>
          <w:color w:val="auto"/>
          <w:sz w:val="32"/>
          <w:szCs w:val="40"/>
        </w:rPr>
        <w:t>政府</w:t>
      </w:r>
      <w:r>
        <w:rPr>
          <w:rFonts w:hint="default" w:ascii="Times New Roman" w:hAnsi="Times New Roman" w:eastAsia="仿宋_GB2312" w:cs="Times New Roman"/>
          <w:sz w:val="32"/>
          <w:szCs w:val="40"/>
        </w:rPr>
        <w:t>关于实现巩固拓展脱贫攻坚成果同乡村振兴有效衔接的各项决策部署，加强过渡期</w:t>
      </w:r>
      <w:r>
        <w:rPr>
          <w:rFonts w:hint="default" w:ascii="Times New Roman" w:hAnsi="Times New Roman" w:eastAsia="仿宋_GB2312" w:cs="Times New Roman"/>
          <w:sz w:val="32"/>
          <w:szCs w:val="40"/>
          <w:lang w:eastAsia="zh-CN"/>
        </w:rPr>
        <w:t>同心</w:t>
      </w:r>
      <w:r>
        <w:rPr>
          <w:rFonts w:hint="default" w:ascii="Times New Roman" w:hAnsi="Times New Roman" w:eastAsia="仿宋_GB2312" w:cs="Times New Roman"/>
          <w:sz w:val="32"/>
          <w:szCs w:val="40"/>
        </w:rPr>
        <w:t>县财政衔接推进乡村振兴补助资金管理，提高资金使用效益，依据中央</w:t>
      </w:r>
      <w:r>
        <w:rPr>
          <w:rFonts w:hint="default" w:ascii="Times New Roman" w:hAnsi="Times New Roman" w:eastAsia="仿宋_GB2312" w:cs="Times New Roman"/>
          <w:sz w:val="32"/>
          <w:szCs w:val="40"/>
          <w:lang w:eastAsia="zh-CN"/>
        </w:rPr>
        <w:t>和区</w:t>
      </w:r>
      <w:r>
        <w:rPr>
          <w:rFonts w:hint="default" w:ascii="Times New Roman" w:hAnsi="Times New Roman" w:eastAsia="仿宋_GB2312" w:cs="Times New Roman"/>
          <w:sz w:val="32"/>
          <w:szCs w:val="40"/>
        </w:rPr>
        <w:t>市及预算管理有关</w:t>
      </w:r>
      <w:r>
        <w:rPr>
          <w:rFonts w:hint="default" w:ascii="Times New Roman" w:hAnsi="Times New Roman" w:eastAsia="仿宋_GB2312" w:cs="Times New Roman"/>
          <w:sz w:val="32"/>
          <w:szCs w:val="40"/>
          <w:lang w:eastAsia="zh-CN"/>
        </w:rPr>
        <w:t>政策</w:t>
      </w:r>
      <w:r>
        <w:rPr>
          <w:rFonts w:hint="default" w:ascii="Times New Roman" w:hAnsi="Times New Roman" w:eastAsia="仿宋_GB2312" w:cs="Times New Roman"/>
          <w:sz w:val="32"/>
          <w:szCs w:val="40"/>
        </w:rPr>
        <w:t>规定，结合我县实际，</w:t>
      </w:r>
      <w:r>
        <w:rPr>
          <w:rFonts w:hint="default" w:ascii="Times New Roman" w:hAnsi="Times New Roman" w:eastAsia="仿宋_GB2312" w:cs="Times New Roman"/>
          <w:sz w:val="32"/>
          <w:szCs w:val="40"/>
          <w:lang w:eastAsia="zh-CN"/>
        </w:rPr>
        <w:t>特</w:t>
      </w:r>
      <w:r>
        <w:rPr>
          <w:rFonts w:hint="default" w:ascii="Times New Roman" w:hAnsi="Times New Roman" w:eastAsia="仿宋_GB2312" w:cs="Times New Roman"/>
          <w:sz w:val="32"/>
          <w:szCs w:val="40"/>
        </w:rPr>
        <w:t>制定本办法。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第二条</w:t>
      </w:r>
      <w:r>
        <w:rPr>
          <w:rFonts w:hint="default" w:ascii="Times New Roman" w:hAnsi="Times New Roman" w:eastAsia="仿宋_GB2312" w:cs="Times New Roman"/>
          <w:b/>
          <w:bCs/>
          <w:sz w:val="32"/>
          <w:szCs w:val="40"/>
          <w:lang w:val="en-US" w:eastAsia="zh-CN"/>
        </w:rPr>
        <w:t xml:space="preserve"> </w:t>
      </w:r>
      <w:r>
        <w:rPr>
          <w:rFonts w:hint="default" w:ascii="Times New Roman" w:hAnsi="Times New Roman" w:eastAsia="仿宋_GB2312" w:cs="Times New Roman"/>
          <w:sz w:val="32"/>
          <w:szCs w:val="40"/>
        </w:rPr>
        <w:t>财政衔接推进乡村振兴补助资金（以下简称“衔接资金”），是指中央、</w:t>
      </w:r>
      <w:r>
        <w:rPr>
          <w:rFonts w:hint="default" w:ascii="Times New Roman" w:hAnsi="Times New Roman" w:eastAsia="仿宋_GB2312" w:cs="Times New Roman"/>
          <w:sz w:val="32"/>
          <w:szCs w:val="40"/>
          <w:lang w:eastAsia="zh-CN"/>
        </w:rPr>
        <w:t>区</w:t>
      </w:r>
      <w:r>
        <w:rPr>
          <w:rFonts w:hint="default" w:ascii="Times New Roman" w:hAnsi="Times New Roman" w:eastAsia="仿宋_GB2312" w:cs="Times New Roman"/>
          <w:sz w:val="32"/>
          <w:szCs w:val="40"/>
        </w:rPr>
        <w:t>级、市级财政补助和县级预算安排用于支持巩固拓展脱贫攻坚成果同乡村振兴有效衔接的资金。</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第三条</w:t>
      </w:r>
      <w:r>
        <w:rPr>
          <w:rFonts w:hint="default" w:ascii="Times New Roman" w:hAnsi="Times New Roman" w:eastAsia="仿宋_GB2312" w:cs="Times New Roman"/>
          <w:sz w:val="32"/>
          <w:szCs w:val="40"/>
        </w:rPr>
        <w:t> 衔接资金应当围绕巩固拓展脱贫攻坚成果同乡村振兴有效衔接的总体目标和要求，统筹安排使用，形成合力，发挥整体效益。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40"/>
        </w:rPr>
      </w:pPr>
      <w:r>
        <w:rPr>
          <w:rFonts w:hint="default" w:ascii="Times New Roman" w:hAnsi="Times New Roman" w:eastAsia="黑体" w:cs="Times New Roman"/>
          <w:b w:val="0"/>
          <w:bCs w:val="0"/>
          <w:sz w:val="32"/>
          <w:szCs w:val="40"/>
        </w:rPr>
        <w:t>第二章  资金预算与资金分配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第四条</w:t>
      </w:r>
      <w:r>
        <w:rPr>
          <w:rFonts w:hint="default" w:ascii="Times New Roman" w:hAnsi="Times New Roman" w:eastAsia="仿宋_GB2312" w:cs="Times New Roman"/>
          <w:sz w:val="32"/>
          <w:szCs w:val="40"/>
        </w:rPr>
        <w:t> 衔接资金分配应统筹兼顾脱贫村、乡村振兴重点帮扶村和非贫困村实际情况，推动均衡发展。重点向乡村振兴重点帮扶村</w:t>
      </w:r>
      <w:r>
        <w:rPr>
          <w:rFonts w:hint="default" w:ascii="Times New Roman" w:hAnsi="Times New Roman" w:eastAsia="仿宋_GB2312" w:cs="Times New Roman"/>
          <w:sz w:val="32"/>
          <w:szCs w:val="40"/>
          <w:lang w:eastAsia="zh-CN"/>
        </w:rPr>
        <w:t>、脱贫村</w:t>
      </w:r>
      <w:r>
        <w:rPr>
          <w:rFonts w:hint="default" w:ascii="Times New Roman" w:hAnsi="Times New Roman" w:eastAsia="仿宋_GB2312" w:cs="Times New Roman"/>
          <w:sz w:val="32"/>
          <w:szCs w:val="40"/>
        </w:rPr>
        <w:t>倾斜。在保证重点帮扶村、脱贫村需要的前提下，可统筹安排衔接资金支持非贫困村发展产业、补齐必要的基础设施短板及县级乡村振兴规划相关项目。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w:t>
      </w:r>
      <w:r>
        <w:rPr>
          <w:rFonts w:hint="default" w:ascii="Times New Roman" w:hAnsi="Times New Roman" w:eastAsia="仿宋_GB2312" w:cs="Times New Roman"/>
          <w:b/>
          <w:bCs/>
          <w:sz w:val="32"/>
          <w:szCs w:val="40"/>
          <w:lang w:eastAsia="zh-CN"/>
        </w:rPr>
        <w:t>五</w:t>
      </w:r>
      <w:r>
        <w:rPr>
          <w:rFonts w:hint="default" w:ascii="Times New Roman" w:hAnsi="Times New Roman" w:eastAsia="仿宋_GB2312" w:cs="Times New Roman"/>
          <w:b/>
          <w:bCs/>
          <w:sz w:val="32"/>
          <w:szCs w:val="40"/>
        </w:rPr>
        <w:t>条 </w:t>
      </w:r>
      <w:r>
        <w:rPr>
          <w:rFonts w:hint="default" w:ascii="Times New Roman" w:hAnsi="Times New Roman" w:eastAsia="仿宋_GB2312" w:cs="Times New Roman"/>
          <w:sz w:val="32"/>
          <w:szCs w:val="40"/>
        </w:rPr>
        <w:t>衔接资金按照因素法进行分配。主要包括：脱贫村、非贫困村、重点帮扶村、相关人群收入、农业产业情况、当年全县主攻乡村振兴重点工作任务、当年受灾情况、绩效等考核结果等。每年分配资金选择的因素和权重，可根据当年巩固拓展脱贫攻坚成果同乡村振兴的工作重点及考评结果进行适当调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40"/>
        </w:rPr>
      </w:pPr>
      <w:r>
        <w:rPr>
          <w:rFonts w:hint="default" w:ascii="Times New Roman" w:hAnsi="Times New Roman" w:eastAsia="黑体" w:cs="Times New Roman"/>
          <w:b w:val="0"/>
          <w:bCs w:val="0"/>
          <w:sz w:val="32"/>
          <w:szCs w:val="40"/>
        </w:rPr>
        <w:t>第三章  资金支出范围与下达</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w:t>
      </w:r>
      <w:r>
        <w:rPr>
          <w:rFonts w:hint="default" w:ascii="Times New Roman" w:hAnsi="Times New Roman" w:eastAsia="仿宋_GB2312" w:cs="Times New Roman"/>
          <w:b/>
          <w:bCs/>
          <w:sz w:val="32"/>
          <w:szCs w:val="40"/>
          <w:lang w:eastAsia="zh-CN"/>
        </w:rPr>
        <w:t>六</w:t>
      </w:r>
      <w:r>
        <w:rPr>
          <w:rFonts w:hint="default" w:ascii="Times New Roman" w:hAnsi="Times New Roman" w:eastAsia="仿宋_GB2312" w:cs="Times New Roman"/>
          <w:b/>
          <w:bCs/>
          <w:sz w:val="32"/>
          <w:szCs w:val="40"/>
        </w:rPr>
        <w:t>条 </w:t>
      </w:r>
      <w:r>
        <w:rPr>
          <w:rFonts w:hint="default" w:ascii="Times New Roman" w:hAnsi="Times New Roman" w:eastAsia="仿宋_GB2312" w:cs="Times New Roman"/>
          <w:sz w:val="32"/>
          <w:szCs w:val="40"/>
        </w:rPr>
        <w:t>衔接资金使用范围，具体包括以下三个方面：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val="0"/>
          <w:sz w:val="32"/>
          <w:szCs w:val="40"/>
        </w:rPr>
      </w:pPr>
      <w:r>
        <w:rPr>
          <w:rFonts w:hint="default" w:ascii="Times New Roman" w:hAnsi="Times New Roman" w:eastAsia="楷体_GB2312" w:cs="Times New Roman"/>
          <w:b w:val="0"/>
          <w:bCs w:val="0"/>
          <w:sz w:val="32"/>
          <w:szCs w:val="40"/>
        </w:rPr>
        <w:t>（一）支持巩固拓展脱贫攻坚成果。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40"/>
        </w:rPr>
      </w:pPr>
      <w:r>
        <w:rPr>
          <w:rFonts w:hint="default" w:ascii="Times New Roman" w:hAnsi="Times New Roman" w:eastAsia="仿宋_GB2312" w:cs="Times New Roman"/>
          <w:sz w:val="32"/>
          <w:szCs w:val="40"/>
        </w:rPr>
        <w:t>1.健全防止返贫致贫监测和帮扶机制，</w:t>
      </w:r>
      <w:r>
        <w:rPr>
          <w:rFonts w:hint="default" w:ascii="Times New Roman" w:hAnsi="Times New Roman" w:eastAsia="仿宋_GB2312" w:cs="Times New Roman"/>
          <w:sz w:val="32"/>
          <w:szCs w:val="40"/>
          <w:lang w:eastAsia="zh-CN"/>
        </w:rPr>
        <w:t>加强监测预警，强化及时帮扶，对监测帮扶对象采取有针对性的预防性措施和事后帮扶措施。</w:t>
      </w:r>
      <w:r>
        <w:rPr>
          <w:rFonts w:hint="default" w:ascii="Times New Roman" w:hAnsi="Times New Roman" w:eastAsia="仿宋_GB2312" w:cs="Times New Roman"/>
          <w:sz w:val="32"/>
          <w:szCs w:val="40"/>
        </w:rPr>
        <w:t>可安排产业发展、小额信贷贴息、生产经营和劳动技能培训、公益岗位补助等支出</w:t>
      </w:r>
      <w:r>
        <w:rPr>
          <w:rFonts w:hint="default" w:ascii="Times New Roman" w:hAnsi="Times New Roman" w:eastAsia="仿宋_GB2312" w:cs="Times New Roman"/>
          <w:color w:val="auto"/>
          <w:sz w:val="32"/>
          <w:szCs w:val="40"/>
        </w:rPr>
        <w:t>。低保、医保、养老保险、临时救助等综合保障措施，通过原资金渠道支持。对于五万元（含）以下的脱贫人口小额信贷，原则上仍维持全额贴息</w:t>
      </w:r>
      <w:r>
        <w:rPr>
          <w:rFonts w:hint="default" w:ascii="Times New Roman" w:hAnsi="Times New Roman" w:eastAsia="仿宋_GB2312" w:cs="Times New Roman"/>
          <w:color w:val="auto"/>
          <w:sz w:val="32"/>
          <w:szCs w:val="40"/>
          <w:lang w:eastAsia="zh-CN"/>
        </w:rPr>
        <w:t>，适时根据政策变化及时调整</w:t>
      </w:r>
      <w:r>
        <w:rPr>
          <w:rFonts w:hint="default" w:ascii="Times New Roman" w:hAnsi="Times New Roman" w:eastAsia="仿宋_GB2312" w:cs="Times New Roman"/>
          <w:color w:val="auto"/>
          <w:sz w:val="32"/>
          <w:szCs w:val="40"/>
        </w:rPr>
        <w:t>。根据实际情况，可安排适当资金通过购买第三方服务、邀请专业技术人员讲课、现场案例教学等形式开展产业就业技能培训。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40"/>
          <w:lang w:eastAsia="zh-CN"/>
        </w:rPr>
      </w:pPr>
      <w:r>
        <w:rPr>
          <w:rFonts w:hint="default" w:ascii="Times New Roman" w:hAnsi="Times New Roman" w:eastAsia="仿宋_GB2312" w:cs="Times New Roman"/>
          <w:sz w:val="32"/>
          <w:szCs w:val="40"/>
          <w:lang w:val="en-US" w:eastAsia="zh-CN"/>
        </w:rPr>
        <w:t>2.</w:t>
      </w:r>
      <w:r>
        <w:rPr>
          <w:rFonts w:hint="default" w:ascii="Times New Roman" w:hAnsi="Times New Roman" w:eastAsia="仿宋_GB2312" w:cs="Times New Roman"/>
          <w:sz w:val="32"/>
          <w:szCs w:val="40"/>
        </w:rPr>
        <w:t>“十三五”易地扶贫搬迁后续扶持。支持实施带动搬迁群众发展的项目，对</w:t>
      </w:r>
      <w:r>
        <w:rPr>
          <w:rFonts w:hint="default" w:ascii="Times New Roman" w:hAnsi="Times New Roman" w:eastAsia="仿宋_GB2312" w:cs="Times New Roman"/>
          <w:sz w:val="32"/>
          <w:szCs w:val="40"/>
          <w:lang w:eastAsia="zh-CN"/>
        </w:rPr>
        <w:t>“十三五”易地移民搬迁安置区等</w:t>
      </w:r>
      <w:r>
        <w:rPr>
          <w:rFonts w:hint="default" w:ascii="Times New Roman" w:hAnsi="Times New Roman" w:eastAsia="仿宋_GB2312" w:cs="Times New Roman"/>
          <w:sz w:val="32"/>
          <w:szCs w:val="40"/>
        </w:rPr>
        <w:t>集中安置区聘用搬迁群众的公共服务岗位和</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一站式</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社区综合服务设施建设等费用予以适当补助。</w:t>
      </w:r>
      <w:r>
        <w:rPr>
          <w:rFonts w:hint="eastAsia" w:ascii="Times New Roman" w:hAnsi="Times New Roman" w:eastAsia="仿宋_GB2312" w:cs="Times New Roman"/>
          <w:sz w:val="32"/>
          <w:szCs w:val="40"/>
          <w:lang w:eastAsia="zh-CN"/>
        </w:rPr>
        <w:t>对规划内的易地扶贫搬迁贷款和调整规范后的地方政府债券按规定予以贴息补助。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lang w:val="en-US" w:eastAsia="zh-CN"/>
        </w:rPr>
        <w:t>3</w:t>
      </w:r>
      <w:r>
        <w:rPr>
          <w:rFonts w:hint="default" w:ascii="Times New Roman" w:hAnsi="Times New Roman" w:eastAsia="仿宋_GB2312" w:cs="Times New Roman"/>
          <w:sz w:val="32"/>
          <w:szCs w:val="40"/>
        </w:rPr>
        <w:t>.外出务工脱贫劳动力（含监测帮扶对象）稳定就业</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可对跨省就业和</w:t>
      </w:r>
      <w:r>
        <w:rPr>
          <w:rFonts w:hint="default" w:ascii="Times New Roman" w:hAnsi="Times New Roman" w:eastAsia="仿宋_GB2312" w:cs="Times New Roman"/>
          <w:sz w:val="32"/>
          <w:szCs w:val="40"/>
          <w:lang w:eastAsia="zh-CN"/>
        </w:rPr>
        <w:t>入驻</w:t>
      </w:r>
      <w:r>
        <w:rPr>
          <w:rFonts w:hint="default" w:ascii="Times New Roman" w:hAnsi="Times New Roman" w:eastAsia="仿宋_GB2312" w:cs="Times New Roman"/>
          <w:sz w:val="32"/>
          <w:szCs w:val="40"/>
        </w:rPr>
        <w:t>县工业园区企业就业的脱贫劳动力适当安排一次性交通补助，已通过就业补助资金发放交通补贴的不重复发放。采取</w:t>
      </w:r>
      <w:r>
        <w:rPr>
          <w:rFonts w:hint="default" w:ascii="Times New Roman" w:hAnsi="Times New Roman" w:eastAsia="仿宋_GB2312" w:cs="Times New Roman"/>
          <w:sz w:val="32"/>
          <w:szCs w:val="40"/>
          <w:lang w:eastAsia="zh-CN"/>
        </w:rPr>
        <w:t>帮扶</w:t>
      </w:r>
      <w:r>
        <w:rPr>
          <w:rFonts w:hint="default" w:ascii="Times New Roman" w:hAnsi="Times New Roman" w:eastAsia="仿宋_GB2312" w:cs="Times New Roman"/>
          <w:sz w:val="32"/>
          <w:szCs w:val="40"/>
        </w:rPr>
        <w:t>车间、以工代赈、生产奖补、劳务补助等方式，促进返乡在乡脱贫劳动力发展产业和就业增收。对已认定的就业</w:t>
      </w:r>
      <w:r>
        <w:rPr>
          <w:rFonts w:hint="default" w:ascii="Times New Roman" w:hAnsi="Times New Roman" w:eastAsia="仿宋_GB2312" w:cs="Times New Roman"/>
          <w:sz w:val="32"/>
          <w:szCs w:val="40"/>
          <w:lang w:eastAsia="zh-CN"/>
        </w:rPr>
        <w:t>帮扶</w:t>
      </w:r>
      <w:r>
        <w:rPr>
          <w:rFonts w:hint="default" w:ascii="Times New Roman" w:hAnsi="Times New Roman" w:eastAsia="仿宋_GB2312" w:cs="Times New Roman"/>
          <w:sz w:val="32"/>
          <w:szCs w:val="40"/>
        </w:rPr>
        <w:t>车间，按照吸纳脱贫劳动力</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含监测对象</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人数及工资总额的规模，在场地、物流、经营贷款贴息等方面予以适当补贴。采取以工代赈方式，积极组织脱贫劳动力</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含监测对象）通过参与工程建设获得劳动报酬。对脱贫劳动力</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含监测对象）在本</w:t>
      </w:r>
      <w:r>
        <w:rPr>
          <w:rFonts w:hint="default" w:ascii="Times New Roman" w:hAnsi="Times New Roman" w:eastAsia="仿宋_GB2312" w:cs="Times New Roman"/>
          <w:sz w:val="32"/>
          <w:szCs w:val="40"/>
          <w:lang w:eastAsia="zh-CN"/>
        </w:rPr>
        <w:t>县</w:t>
      </w:r>
      <w:r>
        <w:rPr>
          <w:rFonts w:hint="default" w:ascii="Times New Roman" w:hAnsi="Times New Roman" w:eastAsia="仿宋_GB2312" w:cs="Times New Roman"/>
          <w:sz w:val="32"/>
          <w:szCs w:val="40"/>
        </w:rPr>
        <w:t>行政区域内自主创业经营且稳定经营6个月以上的，给予一次性创业补贴。监测预警等有关工作经费由县级财政预算安排。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40"/>
        </w:rPr>
      </w:pPr>
      <w:r>
        <w:rPr>
          <w:rFonts w:hint="default" w:ascii="Times New Roman" w:hAnsi="Times New Roman" w:eastAsia="楷体_GB2312" w:cs="Times New Roman"/>
          <w:sz w:val="32"/>
          <w:szCs w:val="40"/>
        </w:rPr>
        <w:t>（二）支持衔接推进乡村振兴。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1.培育和壮大欠发达地区特色优势产业并逐年提高资金占比，支持农业品种培优、品质升级、品牌打造。支持脱贫村特色产业后续长期培育，支持特色种养业全产业链发展，围绕一二三产业融合发展，在区域统筹谋划基础上，支持脱贫村必要的特色种养业农产品和食品仓储保鲜、冷链物流设施建设。推动产销对接和消费帮扶，解决农产品“卖难”问题。支持必要的产业配套基础设施建设。支持脱贫村、重点帮扶村发展壮大村级集体经济。具体支持方式参照县级相关政策文件，补助内容要与项目建设内容相衔接，补助标准要与现行的农资价格、生产经营的物化成本相适应，并确保项目能够切实辐射带动扶持对象参与产业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2.补齐必要的农村人居环境整治和小型公益性基础设施建设短板。主要包括水、电、路、网等农业生产配套设施，以及垃圾清运、路灯、公厕等小型公益性生活设施。教育、卫生、养老服务、文化等农村基本公共服务通过原资金渠道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40"/>
        </w:rPr>
      </w:pPr>
      <w:r>
        <w:rPr>
          <w:rFonts w:hint="default" w:ascii="Times New Roman" w:hAnsi="Times New Roman" w:eastAsia="仿宋_GB2312" w:cs="Times New Roman"/>
          <w:sz w:val="32"/>
          <w:szCs w:val="40"/>
        </w:rPr>
        <w:t>3.实施少数民族特色</w:t>
      </w:r>
      <w:r>
        <w:rPr>
          <w:rFonts w:hint="eastAsia" w:ascii="Times New Roman" w:hAnsi="Times New Roman" w:eastAsia="仿宋_GB2312" w:cs="Times New Roman"/>
          <w:sz w:val="32"/>
          <w:szCs w:val="40"/>
          <w:lang w:eastAsia="zh-CN"/>
        </w:rPr>
        <w:t>产业</w:t>
      </w:r>
      <w:r>
        <w:rPr>
          <w:rFonts w:hint="default" w:ascii="Times New Roman" w:hAnsi="Times New Roman" w:eastAsia="仿宋_GB2312" w:cs="Times New Roman"/>
          <w:color w:val="auto"/>
          <w:sz w:val="32"/>
          <w:szCs w:val="40"/>
        </w:rPr>
        <w:t>和村</w:t>
      </w:r>
      <w:r>
        <w:rPr>
          <w:rFonts w:hint="default" w:ascii="Times New Roman" w:hAnsi="Times New Roman" w:eastAsia="仿宋_GB2312" w:cs="Times New Roman"/>
          <w:color w:val="auto"/>
          <w:sz w:val="32"/>
          <w:szCs w:val="40"/>
          <w:lang w:eastAsia="zh-CN"/>
        </w:rPr>
        <w:t>庄</w:t>
      </w:r>
      <w:r>
        <w:rPr>
          <w:rFonts w:hint="default" w:ascii="Times New Roman" w:hAnsi="Times New Roman" w:eastAsia="仿宋_GB2312" w:cs="Times New Roman"/>
          <w:color w:val="auto"/>
          <w:sz w:val="32"/>
          <w:szCs w:val="40"/>
        </w:rPr>
        <w:t>发展</w:t>
      </w:r>
      <w:r>
        <w:rPr>
          <w:rFonts w:hint="eastAsia" w:ascii="Times New Roman" w:hAnsi="Times New Roman" w:eastAsia="仿宋_GB2312" w:cs="Times New Roman"/>
          <w:color w:val="auto"/>
          <w:sz w:val="32"/>
          <w:szCs w:val="40"/>
          <w:lang w:eastAsia="zh-CN"/>
        </w:rPr>
        <w:t>，以工代赈项目，</w:t>
      </w:r>
      <w:r>
        <w:rPr>
          <w:rFonts w:hint="default" w:ascii="Times New Roman" w:hAnsi="Times New Roman" w:eastAsia="仿宋_GB2312" w:cs="Times New Roman"/>
          <w:color w:val="auto"/>
          <w:sz w:val="32"/>
          <w:szCs w:val="40"/>
        </w:rPr>
        <w:t>欠发达国有农场和林场巩固发展。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40"/>
        </w:rPr>
      </w:pPr>
      <w:r>
        <w:rPr>
          <w:rFonts w:hint="default" w:ascii="Times New Roman" w:hAnsi="Times New Roman" w:eastAsia="楷体_GB2312" w:cs="Times New Roman"/>
          <w:sz w:val="32"/>
          <w:szCs w:val="40"/>
        </w:rPr>
        <w:t>（三）巩固拓展脱贫攻坚成果同乡村振兴有效衔接的其他相关支出。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第八条 </w:t>
      </w:r>
      <w:r>
        <w:rPr>
          <w:rFonts w:hint="default" w:ascii="Times New Roman" w:hAnsi="Times New Roman" w:eastAsia="仿宋_GB2312" w:cs="Times New Roman"/>
          <w:sz w:val="32"/>
          <w:szCs w:val="40"/>
        </w:rPr>
        <w:t>县级可根据资金项目管理工作需要，从衔接资金中按照不超过1%的比例据实列支项目管理费，不足部分由县级财政解决。项目管理费主要用于项目前期设计、评审、招标、监理以及验收等与项目管理相关的支出。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lang w:val="en-US" w:eastAsia="zh-CN"/>
        </w:rPr>
        <w:t xml:space="preserve">第九条 </w:t>
      </w:r>
      <w:r>
        <w:rPr>
          <w:rFonts w:hint="eastAsia" w:ascii="Times New Roman" w:hAnsi="Times New Roman" w:eastAsia="仿宋_GB2312" w:cs="Times New Roman"/>
          <w:sz w:val="32"/>
          <w:szCs w:val="40"/>
          <w:lang w:val="en-US" w:eastAsia="zh-CN"/>
        </w:rPr>
        <w:t>县级</w:t>
      </w:r>
      <w:r>
        <w:rPr>
          <w:rFonts w:hint="default" w:ascii="Times New Roman" w:hAnsi="Times New Roman" w:eastAsia="仿宋_GB2312" w:cs="Times New Roman"/>
          <w:sz w:val="32"/>
          <w:szCs w:val="40"/>
          <w:lang w:val="en-US" w:eastAsia="zh-CN"/>
        </w:rPr>
        <w:t>建立完善</w:t>
      </w:r>
      <w:r>
        <w:rPr>
          <w:rFonts w:hint="default" w:ascii="Times New Roman" w:hAnsi="Times New Roman" w:eastAsia="仿宋_GB2312" w:cs="Times New Roman"/>
          <w:sz w:val="32"/>
          <w:szCs w:val="40"/>
        </w:rPr>
        <w:t>巩固拓展脱贫攻坚成果和乡村振兴项目库，提前做好项目储备，严格项目论证入库，衔接资金支持的项目原则上要从项目库选择，且符合本办法要求。属于政府采购管理范围的项目</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执行政府采购相关规定，村级微小型项目可按照村民民主议事方式直接委托村级组织自建自营。要加强衔接资金和项目管理</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落实绩效管理要</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全面推行公开公示制度，加快预算执行，提高资金使用效益。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b/>
          <w:bCs/>
          <w:sz w:val="32"/>
          <w:szCs w:val="40"/>
          <w:lang w:val="en-US" w:eastAsia="zh-CN"/>
        </w:rPr>
        <w:t xml:space="preserve">第十条 </w:t>
      </w:r>
      <w:r>
        <w:rPr>
          <w:rFonts w:hint="default" w:ascii="Times New Roman" w:hAnsi="Times New Roman" w:eastAsia="仿宋_GB2312" w:cs="Times New Roman"/>
          <w:sz w:val="32"/>
          <w:szCs w:val="40"/>
        </w:rPr>
        <w:t>财政</w:t>
      </w:r>
      <w:r>
        <w:rPr>
          <w:rFonts w:hint="default" w:ascii="Times New Roman" w:hAnsi="Times New Roman" w:eastAsia="仿宋_GB2312" w:cs="Times New Roman"/>
          <w:sz w:val="32"/>
          <w:szCs w:val="40"/>
          <w:lang w:eastAsia="zh-CN"/>
        </w:rPr>
        <w:t>局要</w:t>
      </w:r>
      <w:r>
        <w:rPr>
          <w:rFonts w:hint="default" w:ascii="Times New Roman" w:hAnsi="Times New Roman" w:eastAsia="仿宋_GB2312" w:cs="Times New Roman"/>
          <w:sz w:val="32"/>
          <w:szCs w:val="40"/>
        </w:rPr>
        <w:t>对衔接资金使用管理情况开展监管。</w:t>
      </w:r>
      <w:r>
        <w:rPr>
          <w:rFonts w:hint="default" w:ascii="Times New Roman" w:hAnsi="Times New Roman" w:eastAsia="仿宋_GB2312" w:cs="Times New Roman"/>
          <w:sz w:val="32"/>
          <w:szCs w:val="40"/>
          <w:lang w:eastAsia="zh-CN"/>
        </w:rPr>
        <w:t>县级</w:t>
      </w:r>
      <w:r>
        <w:rPr>
          <w:rFonts w:hint="default" w:ascii="Times New Roman" w:hAnsi="Times New Roman" w:eastAsia="仿宋_GB2312" w:cs="Times New Roman"/>
          <w:sz w:val="32"/>
          <w:szCs w:val="40"/>
        </w:rPr>
        <w:t>财政和行业主管部门按要求配合审计、纪检监察、检察机关做好衔接资金和项目的审计、检查等工作。财政和行业主管部门及其工作人员在衔接资金分配、使用管理等工作中，存在违反本办法规定，以及滥用职权、玩忽职守、徇私舞弊等违法违纪行为的，按照国家</w:t>
      </w:r>
      <w:r>
        <w:rPr>
          <w:rFonts w:hint="default" w:ascii="Times New Roman" w:hAnsi="Times New Roman" w:eastAsia="仿宋_GB2312" w:cs="Times New Roman"/>
          <w:sz w:val="32"/>
          <w:szCs w:val="40"/>
          <w:lang w:eastAsia="zh-CN"/>
        </w:rPr>
        <w:t>有</w:t>
      </w:r>
      <w:r>
        <w:rPr>
          <w:rFonts w:hint="default" w:ascii="Times New Roman" w:hAnsi="Times New Roman" w:eastAsia="仿宋_GB2312" w:cs="Times New Roman"/>
          <w:sz w:val="32"/>
          <w:szCs w:val="40"/>
        </w:rPr>
        <w:t>关规定追究相应责任</w:t>
      </w:r>
      <w:r>
        <w:rPr>
          <w:rFonts w:hint="default"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涉嫌犯罪的，移送有关国家机关处理。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b/>
          <w:bCs/>
          <w:sz w:val="32"/>
          <w:szCs w:val="40"/>
        </w:rPr>
        <w:t>第</w:t>
      </w:r>
      <w:r>
        <w:rPr>
          <w:rFonts w:hint="default" w:ascii="Times New Roman" w:hAnsi="Times New Roman" w:eastAsia="仿宋_GB2312" w:cs="Times New Roman"/>
          <w:b/>
          <w:bCs/>
          <w:sz w:val="32"/>
          <w:szCs w:val="40"/>
          <w:lang w:eastAsia="zh-CN"/>
        </w:rPr>
        <w:t>十一</w:t>
      </w:r>
      <w:r>
        <w:rPr>
          <w:rFonts w:hint="default" w:ascii="Times New Roman" w:hAnsi="Times New Roman" w:eastAsia="仿宋_GB2312" w:cs="Times New Roman"/>
          <w:b/>
          <w:bCs/>
          <w:sz w:val="32"/>
          <w:szCs w:val="40"/>
        </w:rPr>
        <w:t>条 </w:t>
      </w:r>
      <w:r>
        <w:rPr>
          <w:rFonts w:hint="default" w:ascii="Times New Roman" w:hAnsi="Times New Roman" w:eastAsia="仿宋_GB2312" w:cs="Times New Roman"/>
          <w:sz w:val="32"/>
          <w:szCs w:val="40"/>
        </w:rPr>
        <w:t>衔接资金及项目管理费不得用于下列各项支出：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（一）单位基本支出；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（二）交通工具及通讯设备；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（三）各种奖金、津贴和福利补助；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（四）弥补企业亏损；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（五）修建楼堂馆所；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（六）偿还债务和垫资，偿还易地扶贫搬迁债务按有关规定执行；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（七）大中型基本建设项目；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40"/>
        </w:rPr>
      </w:pPr>
      <w:r>
        <w:rPr>
          <w:rFonts w:hint="default" w:ascii="Times New Roman" w:hAnsi="Times New Roman" w:eastAsia="仿宋_GB2312" w:cs="Times New Roman"/>
          <w:sz w:val="32"/>
          <w:szCs w:val="40"/>
        </w:rPr>
        <w:t>（八）其他与巩固拓展脱贫攻坚成果同乡村振兴有效衔接无关的支出。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lang w:eastAsia="zh-CN"/>
        </w:rPr>
      </w:pPr>
      <w:r>
        <w:rPr>
          <w:rFonts w:hint="default" w:ascii="Times New Roman" w:hAnsi="Times New Roman" w:eastAsia="仿宋_GB2312" w:cs="Times New Roman"/>
          <w:b/>
          <w:bCs/>
          <w:sz w:val="32"/>
          <w:szCs w:val="40"/>
        </w:rPr>
        <w:t>第</w:t>
      </w:r>
      <w:r>
        <w:rPr>
          <w:rFonts w:hint="default" w:ascii="Times New Roman" w:hAnsi="Times New Roman" w:eastAsia="仿宋_GB2312" w:cs="Times New Roman"/>
          <w:b/>
          <w:bCs/>
          <w:sz w:val="32"/>
          <w:szCs w:val="40"/>
          <w:lang w:eastAsia="zh-CN"/>
        </w:rPr>
        <w:t>十二</w:t>
      </w:r>
      <w:r>
        <w:rPr>
          <w:rFonts w:hint="default" w:ascii="Times New Roman" w:hAnsi="Times New Roman" w:eastAsia="仿宋_GB2312" w:cs="Times New Roman"/>
          <w:b/>
          <w:bCs/>
          <w:sz w:val="32"/>
          <w:szCs w:val="40"/>
        </w:rPr>
        <w:t>条 </w:t>
      </w:r>
      <w:r>
        <w:rPr>
          <w:rFonts w:hint="default" w:ascii="Times New Roman" w:hAnsi="Times New Roman" w:eastAsia="仿宋_GB2312" w:cs="Times New Roman"/>
          <w:sz w:val="32"/>
          <w:szCs w:val="40"/>
        </w:rPr>
        <w:t>衔接资金由县级根据巩固拓展脱贫攻坚成果同乡村振兴有效衔接工作年度计划、目标任务等自主安排使用。</w:t>
      </w:r>
      <w:r>
        <w:rPr>
          <w:rFonts w:hint="default" w:ascii="Times New Roman" w:hAnsi="Times New Roman" w:eastAsia="仿宋_GB2312" w:cs="Times New Roman"/>
          <w:sz w:val="32"/>
          <w:szCs w:val="40"/>
          <w:lang w:eastAsia="zh-CN"/>
        </w:rPr>
        <w:t>财政部门要根据巩固拓展脱贫攻坚成果同乡村振兴有效衔接的任务需要及财力情况，每年预算安排一定规模的县级衔接资金，保持投入力度总体稳定。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40"/>
          <w:lang w:eastAsia="zh-CN"/>
        </w:rPr>
      </w:pPr>
      <w:r>
        <w:rPr>
          <w:rFonts w:hint="default" w:ascii="Times New Roman" w:hAnsi="Times New Roman" w:eastAsia="仿宋_GB2312" w:cs="Times New Roman"/>
          <w:b/>
          <w:bCs/>
          <w:sz w:val="32"/>
          <w:szCs w:val="40"/>
        </w:rPr>
        <w:t>第</w:t>
      </w:r>
      <w:r>
        <w:rPr>
          <w:rFonts w:hint="default" w:ascii="Times New Roman" w:hAnsi="Times New Roman" w:eastAsia="仿宋_GB2312" w:cs="Times New Roman"/>
          <w:b/>
          <w:bCs/>
          <w:sz w:val="32"/>
          <w:szCs w:val="40"/>
          <w:lang w:eastAsia="zh-CN"/>
        </w:rPr>
        <w:t>十三</w:t>
      </w:r>
      <w:r>
        <w:rPr>
          <w:rFonts w:hint="default" w:ascii="Times New Roman" w:hAnsi="Times New Roman" w:eastAsia="仿宋_GB2312" w:cs="Times New Roman"/>
          <w:b/>
          <w:bCs/>
          <w:sz w:val="32"/>
          <w:szCs w:val="40"/>
        </w:rPr>
        <w:t>条</w:t>
      </w:r>
      <w:r>
        <w:rPr>
          <w:rFonts w:hint="default" w:ascii="Times New Roman" w:hAnsi="Times New Roman" w:eastAsia="仿宋_GB2312" w:cs="Times New Roman"/>
          <w:sz w:val="32"/>
          <w:szCs w:val="40"/>
        </w:rPr>
        <w:t xml:space="preserve"> 本办法自</w:t>
      </w:r>
      <w:r>
        <w:rPr>
          <w:rFonts w:hint="eastAsia" w:ascii="Times New Roman" w:hAnsi="Times New Roman" w:eastAsia="仿宋_GB2312" w:cs="Times New Roman"/>
          <w:sz w:val="32"/>
          <w:szCs w:val="40"/>
          <w:lang w:val="en-US" w:eastAsia="zh-CN"/>
        </w:rPr>
        <w:t>****</w:t>
      </w:r>
      <w:r>
        <w:rPr>
          <w:rFonts w:hint="default" w:ascii="Times New Roman" w:hAnsi="Times New Roman" w:eastAsia="仿宋_GB2312" w:cs="Times New Roman"/>
          <w:sz w:val="32"/>
          <w:szCs w:val="40"/>
        </w:rPr>
        <w:t>年</w:t>
      </w:r>
      <w:r>
        <w:rPr>
          <w:rFonts w:hint="default" w:ascii="Times New Roman" w:hAnsi="Times New Roman" w:eastAsia="仿宋_GB2312" w:cs="Times New Roman"/>
          <w:sz w:val="32"/>
          <w:szCs w:val="40"/>
          <w:lang w:val="en-US" w:eastAsia="zh-CN"/>
        </w:rPr>
        <w:t>**</w:t>
      </w:r>
      <w:r>
        <w:rPr>
          <w:rFonts w:hint="default" w:ascii="Times New Roman" w:hAnsi="Times New Roman" w:eastAsia="仿宋_GB2312" w:cs="Times New Roman"/>
          <w:sz w:val="32"/>
          <w:szCs w:val="40"/>
        </w:rPr>
        <w:t>月</w:t>
      </w:r>
      <w:r>
        <w:rPr>
          <w:rFonts w:hint="default" w:ascii="Times New Roman" w:hAnsi="Times New Roman" w:eastAsia="仿宋_GB2312" w:cs="Times New Roman"/>
          <w:sz w:val="32"/>
          <w:szCs w:val="40"/>
          <w:lang w:val="en-US" w:eastAsia="zh-CN"/>
        </w:rPr>
        <w:t>**</w:t>
      </w:r>
      <w:r>
        <w:rPr>
          <w:rFonts w:hint="default" w:ascii="Times New Roman" w:hAnsi="Times New Roman" w:eastAsia="仿宋_GB2312" w:cs="Times New Roman"/>
          <w:sz w:val="32"/>
          <w:szCs w:val="40"/>
        </w:rPr>
        <w:t>日起施行，由财政</w:t>
      </w:r>
      <w:r>
        <w:rPr>
          <w:rFonts w:hint="default" w:ascii="Times New Roman" w:hAnsi="Times New Roman" w:eastAsia="仿宋_GB2312" w:cs="Times New Roman"/>
          <w:sz w:val="32"/>
          <w:szCs w:val="40"/>
          <w:lang w:eastAsia="zh-CN"/>
        </w:rPr>
        <w:t>局、乡村振兴局</w:t>
      </w:r>
      <w:r>
        <w:rPr>
          <w:rFonts w:hint="default" w:ascii="Times New Roman" w:hAnsi="Times New Roman" w:eastAsia="仿宋_GB2312" w:cs="Times New Roman"/>
          <w:sz w:val="32"/>
          <w:szCs w:val="40"/>
        </w:rPr>
        <w:t xml:space="preserve">会同行业主管部门负责解释。 </w:t>
      </w: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-64770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5.1pt;height:144pt;width:144pt;mso-position-horizontal:outside;mso-position-horizontal-relative:margin;mso-wrap-style:none;z-index:251659264;mso-width-relative:page;mso-height-relative:page;" filled="f" stroked="f" coordsize="21600,21600" o:gfxdata="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KLLamLWAAAACAEAAA8AAAAAAAAAAQAgAAAAIgAAAGRycy9kb3ducmV2LnhtbFBL&#10;AQIUABQAAAAIAIdO4kBrhfn7MQIAAGEEAAAOAAAAAAAAAAEAIAAAACUBAABkcnMvZTJvRG9jLnht&#10;bFBLBQYAAAAABgAGAFkBAADIBQ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k0MGUxM2Y4MjcyODVhYWY0NGM2OWRkN2Y5M2NjYmUifQ=="/>
  </w:docVars>
  <w:rsids>
    <w:rsidRoot w:val="00000000"/>
    <w:rsid w:val="02160F0D"/>
    <w:rsid w:val="02317AF5"/>
    <w:rsid w:val="072639A0"/>
    <w:rsid w:val="0A053D41"/>
    <w:rsid w:val="0AE95411"/>
    <w:rsid w:val="0D3A63F7"/>
    <w:rsid w:val="0E5E08EE"/>
    <w:rsid w:val="10B41FFF"/>
    <w:rsid w:val="20041933"/>
    <w:rsid w:val="22412B40"/>
    <w:rsid w:val="2572293B"/>
    <w:rsid w:val="289538E0"/>
    <w:rsid w:val="2F6F3887"/>
    <w:rsid w:val="313C794F"/>
    <w:rsid w:val="36A77DAA"/>
    <w:rsid w:val="395064D7"/>
    <w:rsid w:val="3A3C7179"/>
    <w:rsid w:val="3CC342A7"/>
    <w:rsid w:val="3E4B2E0B"/>
    <w:rsid w:val="3F650802"/>
    <w:rsid w:val="3FA446DC"/>
    <w:rsid w:val="40302BBE"/>
    <w:rsid w:val="40901D1C"/>
    <w:rsid w:val="40B01F51"/>
    <w:rsid w:val="45AB3F69"/>
    <w:rsid w:val="474D4586"/>
    <w:rsid w:val="491A6DD9"/>
    <w:rsid w:val="4B8B7B28"/>
    <w:rsid w:val="4D5D0D6B"/>
    <w:rsid w:val="4FB31116"/>
    <w:rsid w:val="537D5A2B"/>
    <w:rsid w:val="53C27B7A"/>
    <w:rsid w:val="54A91E13"/>
    <w:rsid w:val="55474FCF"/>
    <w:rsid w:val="55BB64E4"/>
    <w:rsid w:val="564F1095"/>
    <w:rsid w:val="570159AB"/>
    <w:rsid w:val="5AE6440F"/>
    <w:rsid w:val="5C135D05"/>
    <w:rsid w:val="5DE54B90"/>
    <w:rsid w:val="64957299"/>
    <w:rsid w:val="66595B3A"/>
    <w:rsid w:val="666D7210"/>
    <w:rsid w:val="67226E55"/>
    <w:rsid w:val="678E03A2"/>
    <w:rsid w:val="6F15104E"/>
    <w:rsid w:val="70F23777"/>
    <w:rsid w:val="73D946F0"/>
    <w:rsid w:val="742136E7"/>
    <w:rsid w:val="77950F7E"/>
    <w:rsid w:val="7D4A280A"/>
    <w:rsid w:val="7DFF53A3"/>
    <w:rsid w:val="7F8D69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2536</Words>
  <Characters>2549</Characters>
  <Lines>0</Lines>
  <Paragraphs>0</Paragraphs>
  <TotalTime>15</TotalTime>
  <ScaleCrop>false</ScaleCrop>
  <LinksUpToDate>false</LinksUpToDate>
  <CharactersWithSpaces>2559</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2023-06-26T07:19:00Z</dcterms:created>
  <dc:creator>Administrator</dc:creator>
  <cp:lastModifiedBy>彼岸的胡杨</cp:lastModifiedBy>
  <dcterms:modified xsi:type="dcterms:W3CDTF">2023-07-31T10:15:18Z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B94B88FE042541429E5A7E7969F8D2A3_12</vt:lpwstr>
  </property>
</Properties>
</file>