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60" w:lineRule="exact"/>
        <w:jc w:val="both"/>
        <w:textAlignment w:val="auto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60" w:lineRule="exact"/>
        <w:ind w:firstLine="720" w:firstLineChars="200"/>
        <w:jc w:val="both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同心县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2022年肉牛和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滩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羊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养殖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社会化服务试点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项目绩效评价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实施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为拓宽农业社会化服务领域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肉牛和肉羊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社会化服务试点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项目资金使用效率，推进服务带动型规模经营，促进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养殖户和经营主体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现代农业发展的有机衔接，根据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同心县农业农村局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《关于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印发同心县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2022年牛羊养殖社会化服务试点项目实施方案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的通知》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关于印发宁夏肉牛和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滩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羊养殖社会化服务试点项目实施方案的通知》（宁农（经）发〔2021〕7号）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文件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精神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，结合实际，制定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同心县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社会化服务试点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项目绩效评价工作方案。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640" w:lef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绩效评价意义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社会化服务试点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项目绩效评价是财政支持农业社会化服务的明确要求，是对年度资金分配和项目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服务主体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确定的重要依据。开展绩效评价，对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社会化服务试点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主体责任的落实、政策目标的实现、任务清单的完成、资金使用的管理、服务标准的规范、服务方式的创新、工作推进的成效及负面清单管理具有重要的指导和引领作用，对调动广大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养殖户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和服务组织积极参与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农业社会化服务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的积极性、及时总结典型模式和成果经验、营造推进农业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社会化服务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的良好舆论氛围、建立项目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主体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退出机制具有重要意义。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绩效评价对象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社会化服务试点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的服务组织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三、绩效评价方式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主要通过听取汇报、查阅有关实证资料、现场实地查看、座谈询问、入户调查、问卷调查、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效益分析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等方式，对项目实施总体情况进行评价。《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同心县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2022年肉牛和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社会化服务试点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项目绩效评价方案》是绩效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评价的依据，也是下年度资金分配和项目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eastAsia="zh-CN"/>
        </w:rPr>
        <w:t>主体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确定的重要参考。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四、绩效评价内容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绩效评价是对项目资金使用管理的完备性、经济性、效率性、效益性和公平性进行综合评价，包括投入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实施情况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完成情况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成效4个方面。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社会化服务试点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资金绩效评价包括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个评价要点，共计100分。主要包括以下内容：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sz w:val="32"/>
          <w:szCs w:val="32"/>
        </w:rPr>
        <w:t>（一）项目投入情况（</w:t>
      </w:r>
      <w:r>
        <w:rPr>
          <w:rFonts w:hint="default" w:ascii="Times New Roman" w:hAnsi="Times New Roman" w:eastAsia="方正楷体_GBK" w:cs="Times New Roman"/>
          <w:b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楷体_GBK" w:cs="Times New Roman"/>
          <w:b/>
          <w:sz w:val="32"/>
          <w:szCs w:val="32"/>
        </w:rPr>
        <w:t>分）</w:t>
      </w:r>
      <w:r>
        <w:rPr>
          <w:rFonts w:hint="default" w:ascii="Times New Roman" w:hAnsi="Times New Roman" w:eastAsia="方正楷体_GBK" w:cs="Times New Roman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7" w:firstLineChars="196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1、主体责任落实情况（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领导重视，召开会议研究部署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社会化服务试点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工作。（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成立机构，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县农业农村局成立由主要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负责人为组长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社会化服务试点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小组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落实责任，以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农业农村局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正式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文件印发项目组织实施方案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，实施方案印发前经县农业农村局会议研究。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（4）县级农业农村部门对实施主体项目方案进行批复。（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2、资金管理情况（1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（5）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严格按照财政专项资金管理办法执行，专款专用，不得挪用，资金必须落实到服务主体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）资金拨付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程序完整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和手续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齐全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）合理制定对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规模养殖主体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的补助规模上限，无“政策垒大户”情况。（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）资金使用无重大违规违纪行为问题。（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sz w:val="32"/>
          <w:szCs w:val="32"/>
        </w:rPr>
        <w:t>（二）项目实施管理情况（</w:t>
      </w:r>
      <w:r>
        <w:rPr>
          <w:rFonts w:hint="default" w:ascii="Times New Roman" w:hAnsi="Times New Roman" w:eastAsia="方正楷体_GBK" w:cs="Times New Roman"/>
          <w:b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楷体_GBK" w:cs="Times New Roman"/>
          <w:b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1、项目实施（1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）县农业农村部门与项目服务组织签订服务协议。（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县农业农村部门合理制定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分环节、分内容补贴标准，服务价格通过市场化询价获取。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）服务组织编制有详细的项目实施方案，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包括服务组织的基本情况、项目实施内容、服务方式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、服务标准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）服务组织与农户签订服务合同，合同明确服务内容、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服务价格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、质量要求等。（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）服务组织按照服务合同要求按质按量提供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生产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服务，并建立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养殖社会化服务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台账。（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2、项目管理（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服务组织纳入中国农业社会化服务平台管理。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）制定符合当地实际的服务标准或服务规范，并编制成操作手册、明白纸或明白卡。（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）对服务主体履约情况进行跟踪监测，对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服务内</w:t>
      </w:r>
      <w:r>
        <w:rPr>
          <w:rFonts w:hint="default" w:ascii="Times New Roman" w:hAnsi="Times New Roman" w:eastAsia="方正仿宋_GBK" w:cs="Times New Roman"/>
          <w:spacing w:val="-23"/>
          <w:sz w:val="32"/>
          <w:szCs w:val="32"/>
          <w:lang w:eastAsia="zh-CN"/>
        </w:rPr>
        <w:t>容、服务数量、服务价格、服务质量等</w:t>
      </w:r>
      <w:r>
        <w:rPr>
          <w:rFonts w:hint="default" w:ascii="Times New Roman" w:hAnsi="Times New Roman" w:eastAsia="方正仿宋_GBK" w:cs="Times New Roman"/>
          <w:spacing w:val="-23"/>
          <w:sz w:val="32"/>
          <w:szCs w:val="32"/>
        </w:rPr>
        <w:t>进行指导</w:t>
      </w:r>
      <w:r>
        <w:rPr>
          <w:rFonts w:hint="default" w:ascii="Times New Roman" w:hAnsi="Times New Roman" w:eastAsia="方正仿宋_GBK" w:cs="Times New Roman"/>
          <w:spacing w:val="-23"/>
          <w:sz w:val="32"/>
          <w:szCs w:val="32"/>
          <w:lang w:eastAsia="zh-CN"/>
        </w:rPr>
        <w:t>检查</w:t>
      </w:r>
      <w:r>
        <w:rPr>
          <w:rFonts w:hint="default" w:ascii="Times New Roman" w:hAnsi="Times New Roman" w:eastAsia="方正仿宋_GBK" w:cs="Times New Roman"/>
          <w:spacing w:val="-23"/>
          <w:sz w:val="32"/>
          <w:szCs w:val="32"/>
        </w:rPr>
        <w:t>。（</w:t>
      </w:r>
      <w:r>
        <w:rPr>
          <w:rFonts w:hint="default" w:ascii="Times New Roman" w:hAnsi="Times New Roman" w:eastAsia="方正仿宋_GBK" w:cs="Times New Roman"/>
          <w:spacing w:val="-23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23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制定切实可行的验收方案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具备条件的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县（区）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可引入相关专业部门或第三方评价监督。（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3、项目总结（8分）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）形成完整的项目档案资料。（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）按时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绩效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评价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报告。（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）项目实施过程关键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环节照片或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动态影像资料。（2分）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sz w:val="32"/>
          <w:szCs w:val="32"/>
        </w:rPr>
        <w:t>（三）项目任务完成情况（</w:t>
      </w:r>
      <w:r>
        <w:rPr>
          <w:rFonts w:hint="default" w:ascii="Times New Roman" w:hAnsi="Times New Roman" w:eastAsia="方正楷体_GBK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楷体_GBK" w:cs="Times New Roman"/>
          <w:b/>
          <w:sz w:val="32"/>
          <w:szCs w:val="32"/>
        </w:rPr>
        <w:t>分）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1、项目任务（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分）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完成项目方案中确定的目标任务。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（22）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足额配套试点项目资金，并结合实际配套其他项目，加大社会化服务推广力度。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2、项目补助（1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补助方式：补助资金采取“先服务、后补助”的方式。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根据验收情况及时兑付补助资金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sz w:val="32"/>
          <w:szCs w:val="32"/>
        </w:rPr>
        <w:t>（四）项目成效（</w:t>
      </w:r>
      <w:r>
        <w:rPr>
          <w:rFonts w:hint="default" w:ascii="Times New Roman" w:hAnsi="Times New Roman" w:eastAsia="方正楷体_GBK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楷体_GBK" w:cs="Times New Roman"/>
          <w:b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1、政策宣传（1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）召开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社会化服务试点项目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培训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会，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并及时总结推广好经验、好做法。（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）深入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村庄圈舍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、发放宣传资料、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悬挂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宣传标语等方式对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社会化服务试点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相关政策进行宣传。（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）开展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社会化服务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的做法经验得到县媒体报道及上级部门的肯定。（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2、项目效益（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经济效益：农业生产经济效益明显；社会效益：带动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养殖户和经营主体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作用明显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群众满意度大于等于90%得5分，小于90%大于等于85%得4分，小于85%大于等于80%得3分，小于80%不得分。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绩效评价方案表格版见附表。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640" w:lef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试点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项目要按照项目绩效评价方案的要求，切实做好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社会化服务试点项目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农业农村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将会同相关部门依据本工作方案，组织开展年度项目绩效评价工作。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绩效评价组通过听取汇报、查阅资料、实地考察等，针对项目内容开展情况、实施效果、验收情况、资金兑付、档案存档情况等，整理出绩效评价资料和数据，根据绩效评价方案（试行）逐一进行量化打分，形成初步评价结论，并客观公正地撰写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（三）绩效评价报告包括：1、项目实施情况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2、评价指标体系、评价标准、评价方法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3、项目任务实现情况分析和评价结论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4、项目成效、典型经验做法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5、项目实施中存在的主要问题及意见建议。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（四）绩效评价等级分为优秀、良好、中等、合格，评分达到90分以上为优秀，80-89分以上为良好，70-79分为中等，60-69分为合格。对工作组织不力、未按要求开展工作的项目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服务主体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实行退出机制；对工作推进有力的项目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服务主体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适当增加补助资金。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（五）项目实施完成后，对照评价方案指标自评打分，形成自评报告上报，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农村局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将会同相关部门在现场查验核实的基础上进行综合评估。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附表：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同心县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肉牛和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养殖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社会化服务试点项目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绩效评价指标表</w:t>
      </w:r>
    </w:p>
    <w:p>
      <w:pPr>
        <w:spacing w:line="590" w:lineRule="exact"/>
        <w:ind w:firstLine="1600" w:firstLineChars="5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type w:val="continuous"/>
          <w:pgSz w:w="11906" w:h="16838"/>
          <w:pgMar w:top="2098" w:right="1474" w:bottom="1984" w:left="1587" w:header="851" w:footer="1701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2.同心县2022年肉牛和滩羊养殖社会化服务试点项目绩效目标表</w:t>
      </w:r>
    </w:p>
    <w:p>
      <w:pPr>
        <w:spacing w:line="59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附表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同心县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2022年肉牛和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滩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羊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养殖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社会化服务试点项目</w:t>
      </w:r>
    </w:p>
    <w:p>
      <w:pPr>
        <w:autoSpaceDE w:val="0"/>
        <w:autoSpaceDN w:val="0"/>
        <w:adjustRightInd w:val="0"/>
        <w:spacing w:line="59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绩效评价指标表</w:t>
      </w:r>
    </w:p>
    <w:tbl>
      <w:tblPr>
        <w:tblStyle w:val="15"/>
        <w:tblW w:w="1347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13"/>
        <w:gridCol w:w="1628"/>
        <w:gridCol w:w="8037"/>
        <w:gridCol w:w="832"/>
        <w:gridCol w:w="832"/>
        <w:gridCol w:w="833"/>
      </w:tblGrid>
      <w:tr>
        <w:trPr>
          <w:cantSplit/>
          <w:trHeight w:val="543" w:hRule="atLeast"/>
          <w:tblHeader/>
          <w:jc w:val="center"/>
        </w:trPr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分项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80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评分标准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标准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考评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rPr>
          <w:cantSplit/>
          <w:trHeight w:val="543" w:hRule="atLeast"/>
          <w:jc w:val="center"/>
        </w:trPr>
        <w:tc>
          <w:tcPr>
            <w:tcW w:w="13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一、项目投入情况（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（一）主体责任落实情况（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领导重视，召开会议研究部署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肉牛和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养殖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社会化服务试点项目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工作。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  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720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成立机构，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县农业农村局成立由主要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负责人为组长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肉牛和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养殖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社会化服务试点项目建设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领导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小组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720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落实责任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，以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县级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农业农村局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正式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文件印发项目组织实施方案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，实施方案印发前经县农业农村局会议研究。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615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县级农业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农村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部门对实施主体项目方案进行批复。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915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（二）资金管理情况（1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资金严格按照财政专项资金管理办法执行，专款专用，不得挪用，资金必须落实到服务主体。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653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资金拨付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程序完整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和手续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齐全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4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686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合理制定对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规模养殖主体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的补助规模上限，无“政策垒大户”情况。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FF"/>
                <w:kern w:val="0"/>
                <w:sz w:val="28"/>
                <w:szCs w:val="32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Times New Roman" w:hAnsi="Times New Roman" w:eastAsia="方正仿宋_GBK" w:cs="Times New Roman"/>
                <w:color w:val="0000FF"/>
                <w:kern w:val="0"/>
                <w:sz w:val="28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FF"/>
                <w:kern w:val="0"/>
                <w:sz w:val="28"/>
                <w:szCs w:val="32"/>
                <w:highlight w:val="yellow"/>
                <w:lang w:val="en-US" w:eastAsia="zh-CN"/>
              </w:rPr>
              <w:t xml:space="preserve"> 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FF"/>
                <w:kern w:val="0"/>
                <w:sz w:val="28"/>
                <w:szCs w:val="32"/>
                <w:highlight w:val="yellow"/>
              </w:rPr>
            </w:pPr>
          </w:p>
        </w:tc>
      </w:tr>
      <w:tr>
        <w:trPr>
          <w:cantSplit/>
          <w:trHeight w:val="500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资金使用无重大违规违纪行为。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710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二、项目实施管理情况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（一）项目实施（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县农业农村部门与项目服务组织签订服务协议。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505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县农业农村部门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</w:rPr>
              <w:t>合理制定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分环节、分内容补贴标准，服务价格通过市场化询价获取。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73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服务组织编制有详细的项目实施方案，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方案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中包括服务组织的基本情况、项目实施内容、服务方式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、服务标准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等。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535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服务组织与农户签订服务合同，合同明确服务内容、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服务价格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、质量要求等。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653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服务组织按照服务合同要求按质按量提供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生产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服务，并建立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养殖社会化服务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台账。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135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（二）项目管理（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服务组织纳入中国农业社会化服务平台管理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260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制定符合当地实际的服务标准或服务规范，并编制成操作手册、明白纸或明白卡。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885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对服务主体履约情况进行跟踪监测，对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服务内容、服务数量、服务价格、服务质量等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进行指导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检查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660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制定切实可行的验收方案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提倡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具备条件的可引入相关专业部门或第三方评价监督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43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（三）项目总结（8分）</w:t>
            </w: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形成完整的项目档案资料。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按时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按要求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报送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绩效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评价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报告。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8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项目实施过程关键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环节照片或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动态影像资料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三、项目任务完成情况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（一）项目任务（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80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完成项目方案中确定的目标任务。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450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足额配套试点项目资金，并结合实际配套其他项目，加大社会化服务推广力度。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820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（二）项目补助（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80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补助资金采取“先服务、后补助”的方式。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555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singl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根据验收情况及时兑付补助资金。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555" w:hRule="atLeast"/>
          <w:jc w:val="center"/>
        </w:trPr>
        <w:tc>
          <w:tcPr>
            <w:tcW w:w="13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四、项目成效（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（一）政策宣传（1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80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召开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肉牛和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养殖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社会化服务试点项目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培训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会，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并及时总结推广好经验、好做法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780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深入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村庄圈舍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、发放宣传资料、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悬挂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宣传标语等方式对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肉牛和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养殖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社会化服务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相关政策进行宣传。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885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开展肉牛和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养殖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社会化服务的做法经验得到县媒体报道及上级部门的肯定。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765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（二）项目效益（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8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经济效益：农业生产经济效益明显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社会效益：带动小农户作用明显。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815" w:hRule="atLeast"/>
          <w:jc w:val="center"/>
        </w:trPr>
        <w:tc>
          <w:tcPr>
            <w:tcW w:w="13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80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群众满意度大于等于90%得5分，小于90%大于等于85%得4分，小于85%大于等于80%得3分，80%以下不得分。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44" w:hRule="atLeast"/>
          <w:jc w:val="center"/>
        </w:trPr>
        <w:tc>
          <w:tcPr>
            <w:tcW w:w="1347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Autospacing="0" w:line="24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11"/>
        <w:rPr>
          <w:rFonts w:hint="default" w:ascii="Times New Roman" w:hAnsi="Times New Roman" w:cs="Times New Roman"/>
        </w:rPr>
        <w:sectPr>
          <w:footerReference r:id="rId4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tbl>
      <w:tblPr>
        <w:tblStyle w:val="15"/>
        <w:tblpPr w:leftFromText="180" w:rightFromText="180" w:vertAnchor="text" w:horzAnchor="page" w:tblpX="1554" w:tblpY="119"/>
        <w:tblOverlap w:val="never"/>
        <w:tblW w:w="8994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65"/>
        <w:gridCol w:w="2089"/>
        <w:gridCol w:w="664"/>
        <w:gridCol w:w="1401"/>
        <w:gridCol w:w="959"/>
        <w:gridCol w:w="2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both"/>
              <w:textAlignment w:val="auto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2：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99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宁夏2022年肉牛和</w:t>
            </w: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滩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羊产业社会化服务试点项目绩效目标表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宁夏2022年肉牛和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羊产业社会化服务试点项目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同心县农业农村局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同心县畜牧技术推广服务中心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两年期项目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项目期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508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5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5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150万元（自筹资金）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824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在全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个肉牛、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2个滩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规模养殖场开展养殖业社会化服务试点，通过项目实施，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调动养殖户和经营主体的积极性，进一步扩大试点范围，提升全县畜牧业社会化服务水平，促进我县畜牧业高质量发展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（必填硬性指标）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项目实施主体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服务验收合格率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试点项目补贴资金使用率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（必填硬性指标）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项目补助资金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指标（选填）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养殖投入成本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养殖户收入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指标（必填）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标准化饲喂水平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稳步提高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资金使用重大违规违纪问题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指标（选填）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畜禽粪污资源化利用水平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稳步提高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指标（必填）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带动散农户发展现代畜牧业能力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满意度指标（必填）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sectPr>
      <w:footerReference r:id="rId5" w:type="default"/>
      <w:type w:val="continuous"/>
      <w:pgSz w:w="11906" w:h="16838"/>
      <w:pgMar w:top="2155" w:right="1474" w:bottom="1814" w:left="1588" w:header="851" w:footer="992" w:gutter="0"/>
      <w:pgNumType w:fmt="numberInDash" w:start="2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86"/>
    <w:family w:val="auto"/>
    <w:pitch w:val="default"/>
    <w:sig w:usb0="00000000" w:usb1="00000000" w:usb2="00000000" w:usb3="00000000" w:csb0="00000001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2413000</wp:posOffset>
              </wp:positionH>
              <wp:positionV relativeFrom="paragraph">
                <wp:posOffset>134620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210" w:leftChars="100" w:right="210" w:rightChars="100"/>
                            <w:rPr>
                              <w:rStyle w:val="17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rFonts w:ascii="宋体" w:hAnsi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0pt;margin-top:10.6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AT+GtdYAAAAKAQAADwAAAAAAAAABACAAAAA4AAAAZHJzL2Rvd25yZXYueG1s&#10;UEsBAhQAFAAAAAgAh07iQPXvojAdAgAAKQQAAA4AAAAAAAAAAQAgAAAAO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210" w:leftChars="100" w:right="210" w:rightChars="100"/>
                      <w:rPr>
                        <w:rStyle w:val="17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7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7"/>
                        <w:rFonts w:ascii="宋体" w:hAnsi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ypXJC0AQAAUgMAAA4AAABkcnMv&#10;ZTJvRG9jLnhtbK1TzWobMRC+F/IOQvdYax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LnJ7+hBr&#10;zHoKmJeGaz80NMFGjqGI/ix8UGDzFyURTMFe7079lUMiAp3T+Ww+rzAkMDZesAR7/T1ATHfSW5KN&#10;hgIOsPSVb7/EdEgdU3I152+1MWWIxv3jQMzsYZn+gWO20rAajppWvt2hpB5n31CHy0mJuXfY2rwm&#10;owGjsRqNTQC97pCa4ibm4XCEv9okJFL45SoH6GNxHFxReFyyvBl/30vW61NY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/Klck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MmNhODczYjIwYjdhZWY1ODI1N2FjZDI0MjdiMDQifQ=="/>
  </w:docVars>
  <w:rsids>
    <w:rsidRoot w:val="00BF7E15"/>
    <w:rsid w:val="00020DA5"/>
    <w:rsid w:val="00036CDB"/>
    <w:rsid w:val="00037A3A"/>
    <w:rsid w:val="00044A7C"/>
    <w:rsid w:val="000915EE"/>
    <w:rsid w:val="000948C8"/>
    <w:rsid w:val="00124A47"/>
    <w:rsid w:val="00135746"/>
    <w:rsid w:val="00143614"/>
    <w:rsid w:val="001F1FEC"/>
    <w:rsid w:val="003336CD"/>
    <w:rsid w:val="003F5B81"/>
    <w:rsid w:val="004A79E2"/>
    <w:rsid w:val="004E4654"/>
    <w:rsid w:val="005222D7"/>
    <w:rsid w:val="00570836"/>
    <w:rsid w:val="005A2F05"/>
    <w:rsid w:val="005D0736"/>
    <w:rsid w:val="00606112"/>
    <w:rsid w:val="006C3DF0"/>
    <w:rsid w:val="006C6C34"/>
    <w:rsid w:val="007E4C21"/>
    <w:rsid w:val="008023AF"/>
    <w:rsid w:val="0081080B"/>
    <w:rsid w:val="00843841"/>
    <w:rsid w:val="008530AE"/>
    <w:rsid w:val="008A5E8F"/>
    <w:rsid w:val="00955A3C"/>
    <w:rsid w:val="009622D6"/>
    <w:rsid w:val="00971FE2"/>
    <w:rsid w:val="009D01A9"/>
    <w:rsid w:val="009F46E0"/>
    <w:rsid w:val="00A67BA3"/>
    <w:rsid w:val="00A72F93"/>
    <w:rsid w:val="00A74056"/>
    <w:rsid w:val="00A946F9"/>
    <w:rsid w:val="00AB1EB8"/>
    <w:rsid w:val="00AC5BF2"/>
    <w:rsid w:val="00AF4A9F"/>
    <w:rsid w:val="00AF6D3F"/>
    <w:rsid w:val="00B828C8"/>
    <w:rsid w:val="00BC604B"/>
    <w:rsid w:val="00BC7255"/>
    <w:rsid w:val="00BE76CC"/>
    <w:rsid w:val="00BF7E15"/>
    <w:rsid w:val="00C05604"/>
    <w:rsid w:val="00C15A49"/>
    <w:rsid w:val="00C60E58"/>
    <w:rsid w:val="00CF41ED"/>
    <w:rsid w:val="00D75E98"/>
    <w:rsid w:val="00DA24F4"/>
    <w:rsid w:val="00DC3CDE"/>
    <w:rsid w:val="00DD3843"/>
    <w:rsid w:val="00E05819"/>
    <w:rsid w:val="00E303BB"/>
    <w:rsid w:val="00E371C8"/>
    <w:rsid w:val="00E46894"/>
    <w:rsid w:val="00E646C4"/>
    <w:rsid w:val="00E90EED"/>
    <w:rsid w:val="00EC4D17"/>
    <w:rsid w:val="00F03154"/>
    <w:rsid w:val="00F25ADC"/>
    <w:rsid w:val="00FB1506"/>
    <w:rsid w:val="037B0540"/>
    <w:rsid w:val="088D3760"/>
    <w:rsid w:val="091F50D7"/>
    <w:rsid w:val="0C0A45C1"/>
    <w:rsid w:val="0C145382"/>
    <w:rsid w:val="0D8F0E55"/>
    <w:rsid w:val="0DCD15A6"/>
    <w:rsid w:val="137C0DCD"/>
    <w:rsid w:val="16471E1B"/>
    <w:rsid w:val="168023D2"/>
    <w:rsid w:val="174F032F"/>
    <w:rsid w:val="1B311953"/>
    <w:rsid w:val="1BEF0DAF"/>
    <w:rsid w:val="1EA33B19"/>
    <w:rsid w:val="204C4128"/>
    <w:rsid w:val="20CB3E16"/>
    <w:rsid w:val="24686F71"/>
    <w:rsid w:val="287C24A5"/>
    <w:rsid w:val="2B5055F9"/>
    <w:rsid w:val="2F53751D"/>
    <w:rsid w:val="2F7D27B1"/>
    <w:rsid w:val="32A007F9"/>
    <w:rsid w:val="332133E5"/>
    <w:rsid w:val="33E71D87"/>
    <w:rsid w:val="35F003C1"/>
    <w:rsid w:val="3795163A"/>
    <w:rsid w:val="397E4256"/>
    <w:rsid w:val="3A965606"/>
    <w:rsid w:val="3C60472D"/>
    <w:rsid w:val="3C6B4BF5"/>
    <w:rsid w:val="4287511A"/>
    <w:rsid w:val="46787027"/>
    <w:rsid w:val="4866010B"/>
    <w:rsid w:val="4AB97197"/>
    <w:rsid w:val="516E0967"/>
    <w:rsid w:val="5294483A"/>
    <w:rsid w:val="52FA4EB7"/>
    <w:rsid w:val="552A4C1A"/>
    <w:rsid w:val="55F9B3BB"/>
    <w:rsid w:val="596A71D5"/>
    <w:rsid w:val="59890E80"/>
    <w:rsid w:val="5992019F"/>
    <w:rsid w:val="5D200197"/>
    <w:rsid w:val="5E275B38"/>
    <w:rsid w:val="5ECA494E"/>
    <w:rsid w:val="5FD42DD9"/>
    <w:rsid w:val="60DE3318"/>
    <w:rsid w:val="642B5443"/>
    <w:rsid w:val="64DB09C4"/>
    <w:rsid w:val="65522939"/>
    <w:rsid w:val="687817B2"/>
    <w:rsid w:val="69806002"/>
    <w:rsid w:val="6C3C2D18"/>
    <w:rsid w:val="6C8E68FC"/>
    <w:rsid w:val="6CFC020F"/>
    <w:rsid w:val="70405CEC"/>
    <w:rsid w:val="71B23C88"/>
    <w:rsid w:val="725C6E3C"/>
    <w:rsid w:val="73914412"/>
    <w:rsid w:val="75991435"/>
    <w:rsid w:val="75A35181"/>
    <w:rsid w:val="75E91296"/>
    <w:rsid w:val="7728541A"/>
    <w:rsid w:val="77EB429F"/>
    <w:rsid w:val="7C323DEF"/>
    <w:rsid w:val="7ED97B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ascii="宋体" w:cs="宋体"/>
      <w:b/>
      <w:kern w:val="0"/>
      <w:sz w:val="36"/>
      <w:szCs w:val="36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00" w:lineRule="auto"/>
      <w:ind w:firstLine="420"/>
    </w:pPr>
    <w:rPr>
      <w:szCs w:val="24"/>
    </w:rPr>
  </w:style>
  <w:style w:type="paragraph" w:styleId="6">
    <w:name w:val="Body Text"/>
    <w:basedOn w:val="1"/>
    <w:next w:val="1"/>
    <w:qFormat/>
    <w:uiPriority w:val="0"/>
    <w:pPr>
      <w:spacing w:after="120"/>
    </w:pPr>
    <w:rPr>
      <w:kern w:val="0"/>
      <w:sz w:val="24"/>
    </w:rPr>
  </w:style>
  <w:style w:type="paragraph" w:styleId="7">
    <w:name w:val="Body Text Indent"/>
    <w:basedOn w:val="1"/>
    <w:link w:val="19"/>
    <w:unhideWhenUsed/>
    <w:qFormat/>
    <w:uiPriority w:val="99"/>
    <w:pPr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kern w:val="0"/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Body Text First Indent"/>
    <w:basedOn w:val="6"/>
    <w:qFormat/>
    <w:uiPriority w:val="0"/>
    <w:pPr>
      <w:ind w:firstLine="420" w:firstLineChars="100"/>
    </w:pPr>
    <w:rPr>
      <w:sz w:val="20"/>
    </w:rPr>
  </w:style>
  <w:style w:type="paragraph" w:styleId="13">
    <w:name w:val="Body Text First Indent 2"/>
    <w:basedOn w:val="7"/>
    <w:next w:val="14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customStyle="1" w:styleId="14">
    <w:name w:val=" Char Char Char Char"/>
    <w:basedOn w:val="1"/>
    <w:qFormat/>
    <w:uiPriority w:val="0"/>
    <w:rPr>
      <w:rFonts w:ascii="Calibri" w:hAnsi="Calibri" w:eastAsia="仿宋_GB2312"/>
      <w:sz w:val="32"/>
      <w:szCs w:val="20"/>
    </w:rPr>
  </w:style>
  <w:style w:type="character" w:styleId="17">
    <w:name w:val="page number"/>
    <w:basedOn w:val="16"/>
    <w:qFormat/>
    <w:uiPriority w:val="0"/>
  </w:style>
  <w:style w:type="character" w:customStyle="1" w:styleId="18">
    <w:name w:val="页脚 Char"/>
    <w:basedOn w:val="16"/>
    <w:link w:val="8"/>
    <w:qFormat/>
    <w:uiPriority w:val="99"/>
    <w:rPr>
      <w:rFonts w:ascii="Calibri" w:hAnsi="Calibri"/>
      <w:sz w:val="18"/>
      <w:szCs w:val="24"/>
    </w:rPr>
  </w:style>
  <w:style w:type="character" w:customStyle="1" w:styleId="19">
    <w:name w:val="正文文本缩进 Char"/>
    <w:basedOn w:val="16"/>
    <w:link w:val="7"/>
    <w:qFormat/>
    <w:uiPriority w:val="99"/>
    <w:rPr>
      <w:rFonts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6625</Words>
  <Characters>6817</Characters>
  <Lines>2</Lines>
  <Paragraphs>5</Paragraphs>
  <TotalTime>50</TotalTime>
  <ScaleCrop>false</ScaleCrop>
  <LinksUpToDate>false</LinksUpToDate>
  <CharactersWithSpaces>6989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2021-07-13T09:57:00Z</dcterms:created>
  <dc:creator>DELL</dc:creator>
  <cp:lastModifiedBy>inspur</cp:lastModifiedBy>
  <cp:lastPrinted>2022-11-10T07:42:00Z</cp:lastPrinted>
  <dcterms:modified xsi:type="dcterms:W3CDTF">2023-07-13T08:58:04Z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KSOSaveFontToCloudKey">
    <vt:lpwstr>321865922_cloud</vt:lpwstr>
  </property>
  <property fmtid="{D5CDD505-2E9C-101B-9397-08002B2CF9AE}" pid="4" name="ICV">
    <vt:lpwstr>893D74503A454EB58F9CCECC37300D86</vt:lpwstr>
  </property>
</Properties>
</file>