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方正小标宋_GBK" w:hAnsi="Times New Roman" w:eastAsia="方正小标宋_GBK" w:cs="方正小标宋简体"/>
          <w:color w:val="000000"/>
          <w:sz w:val="36"/>
          <w:szCs w:val="36"/>
        </w:rPr>
      </w:pPr>
      <w:r>
        <w:rPr>
          <w:rFonts w:hint="eastAsia" w:ascii="方正小标宋_GBK" w:hAnsi="Times New Roman" w:eastAsia="方正小标宋_GBK" w:cs="方正小标宋简体"/>
          <w:color w:val="000000"/>
          <w:sz w:val="36"/>
          <w:szCs w:val="36"/>
        </w:rPr>
        <w:t>吴忠市建设项目环境影响评价文件告知承诺制审批表</w:t>
      </w:r>
    </w:p>
    <w:p>
      <w:pPr>
        <w:adjustRightInd w:val="0"/>
        <w:snapToGrid w:val="0"/>
        <w:spacing w:after="156" w:afterLines="50" w:line="560" w:lineRule="exact"/>
        <w:ind w:right="482"/>
        <w:jc w:val="right"/>
        <w:rPr>
          <w:rFonts w:ascii="仿宋" w:hAnsi="仿宋" w:eastAsia="仿宋"/>
          <w:b/>
          <w:color w:val="000000"/>
          <w:sz w:val="28"/>
          <w:szCs w:val="28"/>
        </w:rPr>
      </w:pPr>
      <w:r>
        <w:rPr>
          <w:rFonts w:hint="eastAsia" w:ascii="仿宋" w:hAnsi="仿宋" w:eastAsia="仿宋"/>
          <w:color w:val="000000"/>
          <w:sz w:val="28"/>
          <w:szCs w:val="28"/>
        </w:rPr>
        <w:t>审批号：同环承诺审</w:t>
      </w:r>
      <w:r>
        <w:rPr>
          <w:rFonts w:hint="eastAsia" w:ascii="仿宋" w:hAnsi="仿宋" w:eastAsia="仿宋" w:cs="仿宋_GB2312"/>
          <w:color w:val="000000"/>
          <w:sz w:val="28"/>
          <w:szCs w:val="28"/>
        </w:rPr>
        <w:t>〔202</w:t>
      </w:r>
      <w:r>
        <w:rPr>
          <w:rFonts w:hint="eastAsia" w:ascii="仿宋" w:hAnsi="仿宋" w:eastAsia="仿宋" w:cs="仿宋_GB2312"/>
          <w:color w:val="000000"/>
          <w:sz w:val="28"/>
          <w:szCs w:val="28"/>
          <w:lang w:val="en-US" w:eastAsia="zh-CN"/>
        </w:rPr>
        <w:t>2</w:t>
      </w:r>
      <w:r>
        <w:rPr>
          <w:rFonts w:hint="eastAsia" w:ascii="仿宋" w:hAnsi="仿宋" w:eastAsia="仿宋" w:cs="仿宋_GB2312"/>
          <w:color w:val="000000"/>
          <w:sz w:val="28"/>
          <w:szCs w:val="28"/>
        </w:rPr>
        <w:t>〕001号</w:t>
      </w:r>
      <w:r>
        <w:rPr>
          <w:rFonts w:hint="eastAsia" w:ascii="仿宋" w:hAnsi="仿宋" w:eastAsia="仿宋"/>
          <w:color w:val="000000"/>
          <w:sz w:val="28"/>
          <w:szCs w:val="28"/>
        </w:rPr>
        <w:t xml:space="preserve">                         </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2262"/>
        <w:gridCol w:w="2475"/>
        <w:gridCol w:w="1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tcBorders>
              <w:top w:val="single" w:color="auto" w:sz="8"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2"/>
                <w:szCs w:val="32"/>
              </w:rPr>
            </w:pPr>
            <w:r>
              <w:rPr>
                <w:rFonts w:hint="eastAsia" w:ascii="仿宋" w:hAnsi="仿宋" w:eastAsia="仿宋"/>
                <w:color w:val="000000"/>
                <w:sz w:val="32"/>
                <w:szCs w:val="32"/>
              </w:rPr>
              <w:t>项目名称</w:t>
            </w:r>
          </w:p>
        </w:tc>
        <w:tc>
          <w:tcPr>
            <w:tcW w:w="3939" w:type="pct"/>
            <w:gridSpan w:val="3"/>
            <w:tcBorders>
              <w:top w:val="single" w:color="auto" w:sz="8" w:space="0"/>
              <w:left w:val="single" w:color="auto" w:sz="4" w:space="0"/>
              <w:bottom w:val="single" w:color="auto" w:sz="4" w:space="0"/>
              <w:right w:val="single" w:color="auto" w:sz="8" w:space="0"/>
            </w:tcBorders>
            <w:noWrap w:val="0"/>
            <w:vAlign w:val="center"/>
          </w:tcPr>
          <w:p>
            <w:pPr>
              <w:adjustRightInd w:val="0"/>
              <w:snapToGrid w:val="0"/>
              <w:spacing w:line="400" w:lineRule="exact"/>
              <w:jc w:val="center"/>
              <w:rPr>
                <w:rFonts w:ascii="仿宋" w:hAnsi="仿宋" w:eastAsia="仿宋"/>
                <w:color w:val="000000"/>
                <w:sz w:val="32"/>
                <w:szCs w:val="32"/>
              </w:rPr>
            </w:pPr>
            <w:r>
              <w:rPr>
                <w:rFonts w:hint="eastAsia" w:ascii="仿宋_GB2312" w:hAnsi="仿宋" w:eastAsia="仿宋_GB2312"/>
                <w:color w:val="000000"/>
                <w:sz w:val="28"/>
                <w:szCs w:val="28"/>
              </w:rPr>
              <w:t>5000头奶牛扶贫养殖基地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建设地点</w:t>
            </w:r>
          </w:p>
        </w:tc>
        <w:tc>
          <w:tcPr>
            <w:tcW w:w="132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_GB2312" w:hAnsi="仿宋" w:eastAsia="仿宋_GB2312"/>
                <w:color w:val="000000"/>
                <w:sz w:val="28"/>
                <w:szCs w:val="28"/>
              </w:rPr>
              <w:t>吴忠市同心县下马关镇上垣村</w:t>
            </w:r>
          </w:p>
        </w:tc>
        <w:tc>
          <w:tcPr>
            <w:tcW w:w="145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占地（建筑、营业）面积（m</w:t>
            </w:r>
            <w:r>
              <w:rPr>
                <w:rFonts w:hint="eastAsia" w:ascii="仿宋" w:hAnsi="仿宋" w:eastAsia="仿宋"/>
                <w:color w:val="000000"/>
                <w:sz w:val="30"/>
                <w:szCs w:val="30"/>
                <w:vertAlign w:val="superscript"/>
              </w:rPr>
              <w:t>2</w:t>
            </w:r>
            <w:r>
              <w:rPr>
                <w:rFonts w:hint="eastAsia" w:ascii="仿宋" w:hAnsi="仿宋" w:eastAsia="仿宋"/>
                <w:color w:val="000000"/>
                <w:sz w:val="30"/>
                <w:szCs w:val="30"/>
              </w:rPr>
              <w:t>）</w:t>
            </w:r>
          </w:p>
        </w:tc>
        <w:tc>
          <w:tcPr>
            <w:tcW w:w="1160" w:type="pct"/>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00" w:lineRule="exact"/>
              <w:jc w:val="center"/>
              <w:rPr>
                <w:rFonts w:hint="default" w:ascii="仿宋" w:hAnsi="仿宋" w:eastAsia="仿宋_GB2312"/>
                <w:color w:val="000000"/>
                <w:sz w:val="30"/>
                <w:szCs w:val="30"/>
                <w:vertAlign w:val="superscript"/>
                <w:lang w:val="en-US" w:eastAsia="zh-CN"/>
              </w:rPr>
            </w:pPr>
            <w:r>
              <w:rPr>
                <w:rFonts w:hint="eastAsia" w:ascii="仿宋_GB2312" w:hAnsi="仿宋" w:eastAsia="仿宋_GB2312"/>
                <w:color w:val="000000"/>
                <w:sz w:val="28"/>
                <w:szCs w:val="28"/>
              </w:rPr>
              <w:t>276000</w:t>
            </w:r>
            <w:r>
              <w:rPr>
                <w:rFonts w:hint="eastAsia" w:ascii="仿宋_GB2312" w:hAnsi="仿宋" w:eastAsia="仿宋_GB2312"/>
                <w:color w:val="000000"/>
                <w:sz w:val="28"/>
                <w:szCs w:val="28"/>
                <w:lang w:val="en-US" w:eastAsia="zh-CN"/>
              </w:rPr>
              <w:t>m</w:t>
            </w:r>
            <w:r>
              <w:rPr>
                <w:rFonts w:hint="eastAsia" w:ascii="仿宋_GB2312" w:hAnsi="仿宋" w:eastAsia="仿宋_GB2312"/>
                <w:color w:val="000000"/>
                <w:sz w:val="28"/>
                <w:szCs w:val="28"/>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32"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建设单位</w:t>
            </w:r>
          </w:p>
        </w:tc>
        <w:tc>
          <w:tcPr>
            <w:tcW w:w="132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_GB2312" w:hAnsi="仿宋" w:eastAsia="仿宋_GB2312"/>
                <w:color w:val="000000"/>
                <w:sz w:val="28"/>
                <w:szCs w:val="28"/>
              </w:rPr>
              <w:t>宁夏垣盛越农牧综合开发有限公司</w:t>
            </w:r>
          </w:p>
        </w:tc>
        <w:tc>
          <w:tcPr>
            <w:tcW w:w="145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法定代表人或者</w:t>
            </w:r>
          </w:p>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主要负责人</w:t>
            </w:r>
          </w:p>
        </w:tc>
        <w:tc>
          <w:tcPr>
            <w:tcW w:w="1160" w:type="pct"/>
            <w:tcBorders>
              <w:top w:val="single" w:color="auto" w:sz="4" w:space="0"/>
              <w:left w:val="single" w:color="auto" w:sz="4" w:space="0"/>
              <w:bottom w:val="single" w:color="auto" w:sz="4" w:space="0"/>
              <w:right w:val="single" w:color="auto" w:sz="8" w:space="0"/>
            </w:tcBorders>
            <w:noWrap w:val="0"/>
            <w:vAlign w:val="center"/>
          </w:tcPr>
          <w:p>
            <w:pPr>
              <w:tabs>
                <w:tab w:val="left" w:pos="203"/>
              </w:tabs>
              <w:adjustRightInd w:val="0"/>
              <w:snapToGrid w:val="0"/>
              <w:spacing w:line="400" w:lineRule="exact"/>
              <w:jc w:val="center"/>
              <w:rPr>
                <w:rFonts w:ascii="仿宋" w:hAnsi="仿宋" w:eastAsia="仿宋"/>
                <w:color w:val="000000"/>
                <w:sz w:val="30"/>
                <w:szCs w:val="30"/>
              </w:rPr>
            </w:pPr>
            <w:r>
              <w:rPr>
                <w:rFonts w:hint="eastAsia" w:ascii="仿宋_GB2312" w:hAnsi="仿宋" w:eastAsia="仿宋_GB2312"/>
                <w:color w:val="000000"/>
                <w:sz w:val="30"/>
                <w:szCs w:val="30"/>
              </w:rPr>
              <w:t>吴兵柱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联系人</w:t>
            </w:r>
          </w:p>
        </w:tc>
        <w:tc>
          <w:tcPr>
            <w:tcW w:w="132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_GB2312" w:hAnsi="仿宋" w:eastAsia="仿宋_GB2312"/>
                <w:color w:val="000000"/>
                <w:sz w:val="28"/>
                <w:szCs w:val="28"/>
              </w:rPr>
              <w:t>吴晓龙</w:t>
            </w:r>
          </w:p>
        </w:tc>
        <w:tc>
          <w:tcPr>
            <w:tcW w:w="145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联系电话</w:t>
            </w:r>
          </w:p>
        </w:tc>
        <w:tc>
          <w:tcPr>
            <w:tcW w:w="1160" w:type="pct"/>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_GB2312" w:hAnsi="仿宋" w:eastAsia="仿宋_GB2312"/>
                <w:color w:val="000000"/>
                <w:sz w:val="28"/>
                <w:szCs w:val="28"/>
              </w:rPr>
              <w:t>13209537061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项目投资(万元)</w:t>
            </w:r>
          </w:p>
        </w:tc>
        <w:tc>
          <w:tcPr>
            <w:tcW w:w="132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_GB2312" w:hAnsi="仿宋" w:eastAsia="仿宋_GB2312"/>
                <w:color w:val="000000"/>
                <w:sz w:val="28"/>
                <w:szCs w:val="28"/>
              </w:rPr>
              <w:t>7748.78</w:t>
            </w:r>
          </w:p>
        </w:tc>
        <w:tc>
          <w:tcPr>
            <w:tcW w:w="145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环保投资(万元)</w:t>
            </w:r>
          </w:p>
        </w:tc>
        <w:tc>
          <w:tcPr>
            <w:tcW w:w="1160" w:type="pct"/>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00" w:lineRule="exact"/>
              <w:jc w:val="center"/>
              <w:rPr>
                <w:rFonts w:hint="default" w:ascii="仿宋" w:hAnsi="仿宋" w:eastAsia="仿宋"/>
                <w:color w:val="000000"/>
                <w:sz w:val="30"/>
                <w:szCs w:val="30"/>
                <w:lang w:val="en-US" w:eastAsia="zh-CN"/>
              </w:rPr>
            </w:pPr>
            <w:r>
              <w:rPr>
                <w:rFonts w:hint="eastAsia" w:ascii="仿宋_GB2312" w:hAnsi="仿宋" w:eastAsia="仿宋_GB2312"/>
                <w:color w:val="000000"/>
                <w:sz w:val="28"/>
                <w:szCs w:val="28"/>
                <w:lang w:val="en-US" w:eastAsia="zh-CN"/>
              </w:rPr>
              <w:t>478.5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拟投入生产运营日期</w:t>
            </w:r>
          </w:p>
        </w:tc>
        <w:tc>
          <w:tcPr>
            <w:tcW w:w="3939" w:type="pct"/>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28"/>
                <w:szCs w:val="28"/>
              </w:rPr>
              <w:t>202</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年6月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告知承诺制审批依据</w:t>
            </w:r>
          </w:p>
        </w:tc>
        <w:tc>
          <w:tcPr>
            <w:tcW w:w="3939" w:type="pct"/>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00" w:lineRule="exact"/>
              <w:rPr>
                <w:rFonts w:ascii="仿宋" w:hAnsi="仿宋" w:eastAsia="仿宋"/>
                <w:color w:val="000000"/>
                <w:sz w:val="30"/>
                <w:szCs w:val="30"/>
              </w:rPr>
            </w:pPr>
            <w:r>
              <w:rPr>
                <w:rFonts w:hint="eastAsia" w:ascii="仿宋" w:hAnsi="仿宋" w:eastAsia="仿宋"/>
                <w:color w:val="000000"/>
                <w:sz w:val="28"/>
                <w:szCs w:val="28"/>
              </w:rPr>
              <w:t>该项目属于《吴忠市建设项目环境影响评价文件审批事项实施承诺制审批操作细则》适用范围中的畜牧业项目。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61" w:type="pc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color w:val="000000"/>
                <w:sz w:val="30"/>
                <w:szCs w:val="30"/>
              </w:rPr>
            </w:pPr>
            <w:r>
              <w:rPr>
                <w:rFonts w:hint="eastAsia" w:ascii="仿宋" w:hAnsi="仿宋" w:eastAsia="仿宋"/>
                <w:color w:val="000000"/>
                <w:sz w:val="30"/>
                <w:szCs w:val="30"/>
              </w:rPr>
              <w:t>建设内容及规模</w:t>
            </w:r>
          </w:p>
        </w:tc>
        <w:tc>
          <w:tcPr>
            <w:tcW w:w="3939" w:type="pct"/>
            <w:gridSpan w:val="3"/>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00" w:lineRule="exact"/>
              <w:rPr>
                <w:rFonts w:ascii="仿宋" w:hAnsi="仿宋" w:eastAsia="仿宋"/>
                <w:color w:val="000000"/>
                <w:sz w:val="30"/>
                <w:szCs w:val="30"/>
              </w:rPr>
            </w:pPr>
            <w:r>
              <w:rPr>
                <w:rFonts w:hint="eastAsia" w:ascii="仿宋_GB2312" w:hAnsi="仿宋" w:eastAsia="仿宋_GB2312"/>
                <w:color w:val="000000"/>
                <w:sz w:val="28"/>
                <w:szCs w:val="28"/>
              </w:rPr>
              <w:t>本项目总用地面积为276000m</w:t>
            </w:r>
            <w:r>
              <w:rPr>
                <w:rFonts w:hint="eastAsia" w:ascii="仿宋_GB2312" w:hAnsi="仿宋" w:eastAsia="仿宋_GB2312"/>
                <w:color w:val="000000"/>
                <w:sz w:val="28"/>
                <w:szCs w:val="28"/>
                <w:vertAlign w:val="superscript"/>
              </w:rPr>
              <w:t>2</w:t>
            </w:r>
            <w:r>
              <w:rPr>
                <w:rFonts w:hint="eastAsia" w:ascii="仿宋_GB2312" w:hAnsi="仿宋" w:eastAsia="仿宋_GB2312"/>
                <w:color w:val="000000"/>
                <w:sz w:val="28"/>
                <w:szCs w:val="28"/>
              </w:rPr>
              <w:t>（约合414亩），其中建筑面积50860m</w:t>
            </w:r>
            <w:r>
              <w:rPr>
                <w:rFonts w:hint="eastAsia" w:ascii="仿宋_GB2312" w:hAnsi="仿宋" w:eastAsia="仿宋_GB2312"/>
                <w:color w:val="000000"/>
                <w:sz w:val="28"/>
                <w:szCs w:val="28"/>
                <w:vertAlign w:val="superscript"/>
              </w:rPr>
              <w:t>2</w:t>
            </w:r>
            <w:r>
              <w:rPr>
                <w:rFonts w:hint="eastAsia" w:ascii="仿宋_GB2312" w:hAnsi="仿宋" w:eastAsia="仿宋_GB2312"/>
                <w:color w:val="000000"/>
                <w:sz w:val="28"/>
                <w:szCs w:val="28"/>
              </w:rPr>
              <w:t>，主要新建奶牛舍2栋、青年牛舍2栋、产牛舍1栋、犊牛舍2栋、怀犊牛舍3栋、挤奶厅、干草棚、青贮池、堆粪棚、污水处理设施、宿舍办公区及相关配套设施。项目存栏奶牛5000头，其中产奶牛3333头，干奶牛667头，青年牛333头，育成牛167头，犊牛167头，围产牛333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4"/>
            <w:tcBorders>
              <w:top w:val="single" w:color="auto" w:sz="4" w:space="0"/>
              <w:left w:val="single" w:color="auto" w:sz="8" w:space="0"/>
              <w:bottom w:val="single" w:color="auto" w:sz="4" w:space="0"/>
              <w:right w:val="single" w:color="auto" w:sz="8" w:space="0"/>
            </w:tcBorders>
            <w:noWrap w:val="0"/>
            <w:vAlign w:val="center"/>
          </w:tcPr>
          <w:p>
            <w:pPr>
              <w:adjustRightInd w:val="0"/>
              <w:snapToGrid w:val="0"/>
              <w:spacing w:line="400" w:lineRule="exact"/>
              <w:ind w:firstLine="640" w:firstLineChars="200"/>
              <w:rPr>
                <w:rFonts w:hint="eastAsia" w:ascii="楷体_GB2312" w:hAnsi="仿宋" w:eastAsia="楷体_GB2312"/>
                <w:color w:val="000000"/>
                <w:sz w:val="32"/>
                <w:szCs w:val="32"/>
              </w:rPr>
            </w:pPr>
            <w:r>
              <w:rPr>
                <w:rFonts w:hint="eastAsia" w:ascii="楷体_GB2312" w:hAnsi="仿宋" w:eastAsia="楷体_GB2312"/>
                <w:color w:val="000000"/>
                <w:sz w:val="32"/>
                <w:szCs w:val="32"/>
              </w:rPr>
              <w:t>项目“三废”治理措施简述（采用的处理工艺、处理后排放标准、去向）：</w:t>
            </w:r>
          </w:p>
          <w:p>
            <w:pPr>
              <w:spacing w:line="520" w:lineRule="exact"/>
              <w:ind w:firstLine="700" w:firstLineChars="250"/>
              <w:rPr>
                <w:rFonts w:ascii="仿宋_GB2312" w:hAnsi="仿宋" w:eastAsia="仿宋_GB2312"/>
                <w:color w:val="000000"/>
                <w:sz w:val="28"/>
                <w:szCs w:val="28"/>
              </w:rPr>
            </w:pPr>
            <w:r>
              <w:rPr>
                <w:rFonts w:hint="eastAsia" w:ascii="仿宋_GB2312" w:hAnsi="仿宋" w:eastAsia="仿宋_GB2312" w:cs="Times New Roman"/>
                <w:color w:val="000000"/>
                <w:sz w:val="28"/>
                <w:szCs w:val="28"/>
              </w:rPr>
              <w:t>1、项目运营</w:t>
            </w:r>
            <w:r>
              <w:rPr>
                <w:rFonts w:ascii="仿宋_GB2312" w:hAnsi="仿宋" w:eastAsia="仿宋_GB2312"/>
                <w:color w:val="000000"/>
                <w:sz w:val="28"/>
                <w:szCs w:val="28"/>
              </w:rPr>
              <w:t>期废气为牛舍、堆粪场</w:t>
            </w:r>
            <w:r>
              <w:rPr>
                <w:rFonts w:hint="eastAsia" w:ascii="仿宋_GB2312" w:hAnsi="仿宋" w:eastAsia="仿宋_GB2312"/>
                <w:color w:val="000000"/>
                <w:sz w:val="28"/>
                <w:szCs w:val="28"/>
              </w:rPr>
              <w:t>、污水处理站等</w:t>
            </w:r>
            <w:r>
              <w:rPr>
                <w:rFonts w:ascii="仿宋_GB2312" w:hAnsi="仿宋" w:eastAsia="仿宋_GB2312"/>
                <w:color w:val="000000"/>
                <w:sz w:val="28"/>
                <w:szCs w:val="28"/>
              </w:rPr>
              <w:t>产生的恶臭</w:t>
            </w:r>
            <w:r>
              <w:rPr>
                <w:rFonts w:hint="eastAsia" w:ascii="仿宋_GB2312" w:hAnsi="仿宋" w:eastAsia="仿宋_GB2312"/>
                <w:color w:val="000000"/>
                <w:sz w:val="28"/>
                <w:szCs w:val="28"/>
              </w:rPr>
              <w:t>、饲料加工产生的粉尘</w:t>
            </w:r>
            <w:r>
              <w:rPr>
                <w:rFonts w:ascii="仿宋_GB2312" w:hAnsi="仿宋" w:eastAsia="仿宋_GB2312"/>
                <w:color w:val="000000"/>
                <w:sz w:val="28"/>
                <w:szCs w:val="28"/>
              </w:rPr>
              <w:t>。牛舍定期喷洒除臭剂、牛粪及时清理、对堆粪场定期喷洒除臭剂；</w:t>
            </w:r>
            <w:r>
              <w:rPr>
                <w:rFonts w:hint="eastAsia" w:ascii="仿宋_GB2312" w:hAnsi="仿宋" w:eastAsia="仿宋_GB2312"/>
                <w:color w:val="000000"/>
                <w:sz w:val="28"/>
                <w:szCs w:val="28"/>
              </w:rPr>
              <w:t>污水处理站加盖密闭，</w:t>
            </w:r>
            <w:r>
              <w:rPr>
                <w:rFonts w:ascii="仿宋_GB2312" w:hAnsi="仿宋" w:eastAsia="仿宋_GB2312"/>
                <w:color w:val="000000"/>
                <w:sz w:val="28"/>
                <w:szCs w:val="28"/>
              </w:rPr>
              <w:t>确保厂界处NH3、H2S须满足</w:t>
            </w:r>
            <w:r>
              <w:rPr>
                <w:rFonts w:ascii="仿宋_GB2312" w:hAnsi="仿宋" w:eastAsia="仿宋_GB2312"/>
                <w:color w:val="000000" w:themeColor="text1"/>
                <w:sz w:val="28"/>
                <w:szCs w:val="28"/>
                <w14:textFill>
                  <w14:solidFill>
                    <w14:schemeClr w14:val="tx1"/>
                  </w14:solidFill>
                </w14:textFill>
              </w:rPr>
              <w:t>《恶臭污染物排放标准》（GB14554-93）表1中的二级标准限值要</w:t>
            </w:r>
            <w:r>
              <w:rPr>
                <w:rFonts w:ascii="仿宋_GB2312" w:hAnsi="仿宋" w:eastAsia="仿宋_GB2312"/>
                <w:color w:val="000000" w:themeColor="text1"/>
                <w:spacing w:val="-8"/>
                <w:sz w:val="28"/>
                <w:szCs w:val="28"/>
                <w14:textFill>
                  <w14:solidFill>
                    <w14:schemeClr w14:val="tx1"/>
                  </w14:solidFill>
                </w14:textFill>
              </w:rPr>
              <w:t>求；臭气浓度须满足《畜禽养殖业污染物排放标准》（GB18596-2001）</w:t>
            </w:r>
            <w:r>
              <w:rPr>
                <w:rFonts w:ascii="仿宋_GB2312" w:hAnsi="仿宋" w:eastAsia="仿宋_GB2312"/>
                <w:color w:val="000000"/>
                <w:spacing w:val="-8"/>
                <w:sz w:val="28"/>
                <w:szCs w:val="28"/>
              </w:rPr>
              <w:t>中相关要求。</w:t>
            </w:r>
            <w:r>
              <w:rPr>
                <w:rFonts w:hint="eastAsia" w:ascii="仿宋_GB2312" w:hAnsi="仿宋" w:eastAsia="仿宋_GB2312"/>
                <w:color w:val="000000"/>
                <w:spacing w:val="-8"/>
                <w:sz w:val="28"/>
                <w:szCs w:val="28"/>
              </w:rPr>
              <w:t>饲料加工产生的粉尘经设备自带除尘器处理后无组织排</w:t>
            </w:r>
            <w:r>
              <w:rPr>
                <w:rFonts w:hint="eastAsia" w:ascii="仿宋_GB2312" w:hAnsi="仿宋" w:eastAsia="仿宋_GB2312"/>
                <w:color w:val="000000"/>
                <w:sz w:val="28"/>
                <w:szCs w:val="28"/>
              </w:rPr>
              <w:t>放。</w:t>
            </w:r>
          </w:p>
          <w:p>
            <w:pPr>
              <w:spacing w:line="520" w:lineRule="exact"/>
              <w:ind w:firstLine="700" w:firstLineChars="250"/>
              <w:rPr>
                <w:rFonts w:hint="eastAsia" w:ascii="仿宋_GB2312" w:hAnsi="仿宋" w:eastAsia="仿宋_GB2312" w:cs="Times New Roman"/>
                <w:color w:val="000000"/>
                <w:sz w:val="28"/>
                <w:szCs w:val="28"/>
              </w:rPr>
            </w:pPr>
            <w:r>
              <w:rPr>
                <w:rFonts w:hint="eastAsia" w:ascii="仿宋_GB2312" w:hAnsi="仿宋" w:eastAsia="仿宋_GB2312" w:cs="Times New Roman"/>
                <w:color w:val="000000"/>
                <w:sz w:val="28"/>
                <w:szCs w:val="28"/>
                <w:lang w:val="en-US" w:eastAsia="zh-CN"/>
              </w:rPr>
              <w:t>2、</w:t>
            </w:r>
            <w:r>
              <w:rPr>
                <w:rFonts w:hint="eastAsia" w:ascii="仿宋_GB2312" w:hAnsi="仿宋" w:eastAsia="仿宋_GB2312" w:cs="Times New Roman"/>
                <w:color w:val="000000"/>
                <w:sz w:val="28"/>
                <w:szCs w:val="28"/>
              </w:rPr>
              <w:t>项目运营期废水为职工生活污水、挤奶大厅地面及奶缸清洗废水；废水经拟建处理规模为100m3/d、处理工艺为“采用“初沉池+调节池+压滤机+中间水池+A/O/O 反应池+二沉池+消毒池+氧化塘”无害化处理工艺，出水水质满足（GB5084-2021）中“旱地作物”标准，用于周边农田灌溉。</w:t>
            </w:r>
          </w:p>
          <w:p>
            <w:pPr>
              <w:spacing w:line="520" w:lineRule="exact"/>
              <w:ind w:firstLine="700" w:firstLineChars="250"/>
              <w:rPr>
                <w:rFonts w:hint="eastAsia" w:ascii="仿宋_GB2312" w:hAnsi="仿宋" w:eastAsia="仿宋_GB2312" w:cs="Times New Roman"/>
                <w:color w:val="000000"/>
                <w:sz w:val="28"/>
                <w:szCs w:val="28"/>
              </w:rPr>
            </w:pPr>
            <w:r>
              <w:rPr>
                <w:rFonts w:hint="eastAsia" w:ascii="仿宋_GB2312" w:hAnsi="仿宋" w:eastAsia="仿宋_GB2312" w:cs="Times New Roman"/>
                <w:color w:val="000000"/>
                <w:sz w:val="28"/>
                <w:szCs w:val="28"/>
              </w:rPr>
              <w:t>3、运营期对生产设施采取减振降噪措施，确保运营期厂界噪声满足《工业企业厂界环境噪声排放标准》（GB12348-2008）2类标准要求。</w:t>
            </w:r>
          </w:p>
          <w:p>
            <w:pPr>
              <w:spacing w:line="520" w:lineRule="exact"/>
              <w:ind w:firstLine="700" w:firstLineChars="250"/>
              <w:rPr>
                <w:rFonts w:ascii="仿宋" w:hAnsi="仿宋" w:eastAsia="仿宋"/>
                <w:color w:val="000000"/>
                <w:sz w:val="30"/>
                <w:szCs w:val="30"/>
              </w:rPr>
            </w:pPr>
            <w:r>
              <w:rPr>
                <w:rFonts w:hint="eastAsia" w:ascii="仿宋_GB2312" w:hAnsi="仿宋" w:eastAsia="仿宋_GB2312" w:cs="Times New Roman"/>
                <w:color w:val="000000"/>
                <w:sz w:val="28"/>
                <w:szCs w:val="28"/>
              </w:rPr>
              <w:t>4、项目运营期固体废物主要有牛粪、病死牛尸体及胎盘、污水处理站污泥、兽医站少量医疗废物及生活垃圾。牛粪采取人工机械+人工干法清粪方式将粪便及时、单独清出，做到日产日清，牛粪、污泥统一收集运往堆粪场堆放，腐熟无害化后用作农肥还田；病死牛尸体及胎盘由防疫部门专用车辆送往无害化处理中心处置；医疗废物集中收集后委托有资质的单位集中处理；布袋除尘收集的粉尘作为饲料利用；生活垃圾收集后交环卫部门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000" w:type="pct"/>
            <w:gridSpan w:val="4"/>
            <w:tcBorders>
              <w:top w:val="single" w:color="auto" w:sz="4" w:space="0"/>
              <w:left w:val="single" w:color="auto" w:sz="8" w:space="0"/>
              <w:bottom w:val="single" w:color="auto" w:sz="8" w:space="0"/>
              <w:right w:val="single" w:color="auto" w:sz="8" w:space="0"/>
            </w:tcBorders>
            <w:noWrap w:val="0"/>
            <w:vAlign w:val="center"/>
          </w:tcPr>
          <w:p>
            <w:pPr>
              <w:adjustRightInd w:val="0"/>
              <w:snapToGrid w:val="0"/>
              <w:spacing w:line="4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该项目环境影响评价文件已经完成告知承诺制审批。</w:t>
            </w:r>
          </w:p>
          <w:p>
            <w:pPr>
              <w:adjustRightInd w:val="0"/>
              <w:snapToGrid w:val="0"/>
              <w:spacing w:line="400" w:lineRule="exact"/>
              <w:ind w:firstLine="600" w:firstLineChars="200"/>
              <w:rPr>
                <w:rFonts w:ascii="仿宋" w:hAnsi="仿宋" w:eastAsia="仿宋"/>
                <w:color w:val="000000"/>
                <w:sz w:val="30"/>
                <w:szCs w:val="30"/>
              </w:rPr>
            </w:pPr>
          </w:p>
          <w:p>
            <w:pPr>
              <w:adjustRightInd w:val="0"/>
              <w:snapToGrid w:val="0"/>
              <w:spacing w:line="40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　　　　     吴忠市生态环境局同心分局（盖章）</w:t>
            </w:r>
          </w:p>
          <w:p>
            <w:pPr>
              <w:pStyle w:val="6"/>
            </w:pPr>
            <w:r>
              <w:rPr>
                <w:rFonts w:hint="eastAsia" w:ascii="仿宋" w:hAnsi="仿宋" w:eastAsia="仿宋"/>
                <w:color w:val="000000"/>
                <w:kern w:val="2"/>
                <w:sz w:val="30"/>
                <w:szCs w:val="30"/>
              </w:rPr>
              <w:t xml:space="preserve">                    2021年</w:t>
            </w:r>
            <w:r>
              <w:rPr>
                <w:rFonts w:hint="eastAsia" w:ascii="仿宋" w:hAnsi="仿宋" w:eastAsia="仿宋"/>
                <w:color w:val="000000"/>
                <w:kern w:val="2"/>
                <w:sz w:val="30"/>
                <w:szCs w:val="30"/>
                <w:lang w:val="en-US" w:eastAsia="zh-CN"/>
              </w:rPr>
              <w:t>3</w:t>
            </w:r>
            <w:r>
              <w:rPr>
                <w:rFonts w:hint="eastAsia" w:ascii="仿宋" w:hAnsi="仿宋" w:eastAsia="仿宋"/>
                <w:color w:val="000000"/>
                <w:kern w:val="2"/>
                <w:sz w:val="30"/>
                <w:szCs w:val="30"/>
              </w:rPr>
              <w:t>月</w:t>
            </w:r>
            <w:r>
              <w:rPr>
                <w:rFonts w:hint="eastAsia" w:ascii="仿宋" w:hAnsi="仿宋" w:eastAsia="仿宋"/>
                <w:color w:val="000000"/>
                <w:kern w:val="2"/>
                <w:sz w:val="30"/>
                <w:szCs w:val="30"/>
                <w:lang w:val="en-US" w:eastAsia="zh-CN"/>
              </w:rPr>
              <w:t>23</w:t>
            </w:r>
            <w:r>
              <w:rPr>
                <w:rFonts w:hint="eastAsia" w:ascii="仿宋" w:hAnsi="仿宋" w:eastAsia="仿宋"/>
                <w:color w:val="000000"/>
                <w:kern w:val="2"/>
                <w:sz w:val="30"/>
                <w:szCs w:val="3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60208"/>
    <w:rsid w:val="3C1542D5"/>
    <w:rsid w:val="73C6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rPr>
      <w:rFonts w:ascii="Calibri" w:hAnsi="Calibri" w:eastAsia="宋体" w:cs="Times New Roman"/>
    </w:rPr>
  </w:style>
  <w:style w:type="paragraph" w:styleId="3">
    <w:name w:val="Body Text Indent"/>
    <w:basedOn w:val="1"/>
    <w:next w:val="1"/>
    <w:qFormat/>
    <w:uiPriority w:val="0"/>
    <w:pPr>
      <w:widowControl w:val="0"/>
      <w:adjustRightInd/>
      <w:snapToGrid/>
      <w:spacing w:line="240" w:lineRule="auto"/>
      <w:ind w:firstLine="552"/>
      <w:jc w:val="both"/>
    </w:pPr>
    <w:rPr>
      <w:rFonts w:ascii="Times New Roman" w:hAnsi="Times New Roman" w:cs="Times New Roman"/>
      <w:spacing w:val="-2"/>
      <w:sz w:val="24"/>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1"/>
    <w:qFormat/>
    <w:uiPriority w:val="0"/>
    <w:pPr>
      <w:spacing w:after="120"/>
      <w:ind w:left="420" w:leftChars="200" w:firstLine="420"/>
    </w:pPr>
    <w:rPr>
      <w:spacing w:val="0"/>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2022-03-23T09:58:00Z</dcterms:created>
  <dc:creator>天空中的立体云</dc:creator>
  <cp:lastModifiedBy>天空中的立体云</cp:lastModifiedBy>
  <dcterms:modified xsi:type="dcterms:W3CDTF">2022-03-23T10:25:52Z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1BEFF73F45F84F26B796249620CFEA03</vt:lpwstr>
  </property>
</Properties>
</file>